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04F6" w:rsidRDefault="00AB04F6" w:rsidP="00AB04F6">
      <w:pPr>
        <w:ind w:right="43"/>
        <w:jc w:val="both"/>
        <w:rPr>
          <w:color w:val="000000"/>
        </w:rPr>
      </w:pPr>
      <w:r>
        <w:rPr>
          <w:color w:val="000000"/>
        </w:rPr>
        <w:t>UR2017</w:t>
      </w:r>
      <w:r w:rsidRPr="00C1552C">
        <w:rPr>
          <w:color w:val="000000"/>
        </w:rPr>
        <w:t>-017742/</w:t>
      </w:r>
      <w:r w:rsidR="00C1552C">
        <w:rPr>
          <w:color w:val="000000"/>
        </w:rPr>
        <w:t>06.11</w:t>
      </w:r>
      <w:r w:rsidRPr="00C1552C">
        <w:rPr>
          <w:color w:val="000000"/>
        </w:rPr>
        <w:t>.2017</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AB04F6" w:rsidRDefault="00AB04F6" w:rsidP="00AB04F6">
      <w:pPr>
        <w:keepNext/>
        <w:tabs>
          <w:tab w:val="left" w:pos="0"/>
        </w:tabs>
        <w:ind w:left="6840" w:right="43"/>
        <w:rPr>
          <w:b/>
        </w:rPr>
      </w:pPr>
      <w:r>
        <w:rPr>
          <w:b/>
        </w:rPr>
        <w:t xml:space="preserve">       </w:t>
      </w:r>
    </w:p>
    <w:p w:rsidR="00AB04F6" w:rsidRDefault="00AB04F6" w:rsidP="00AB04F6">
      <w:pPr>
        <w:keepNext/>
        <w:tabs>
          <w:tab w:val="left" w:pos="0"/>
        </w:tabs>
        <w:ind w:left="6840" w:right="43"/>
        <w:rPr>
          <w:b/>
        </w:rPr>
      </w:pPr>
      <w:r>
        <w:rPr>
          <w:b/>
        </w:rPr>
        <w:t xml:space="preserve">    </w:t>
      </w:r>
    </w:p>
    <w:p w:rsidR="00AB04F6" w:rsidRDefault="000C0ECF" w:rsidP="00AB04F6">
      <w:pPr>
        <w:ind w:right="43" w:firstLine="720"/>
        <w:jc w:val="center"/>
        <w:rPr>
          <w:b/>
        </w:rPr>
      </w:pPr>
      <w:r>
        <w:rPr>
          <w:b/>
        </w:rPr>
        <w:t>R</w:t>
      </w:r>
      <w:r w:rsidR="00AB04F6">
        <w:rPr>
          <w:b/>
        </w:rPr>
        <w:t>APORT DE SPECIALITATE</w:t>
      </w:r>
    </w:p>
    <w:p w:rsidR="00AB04F6" w:rsidRDefault="00AB04F6" w:rsidP="00AB04F6">
      <w:pPr>
        <w:ind w:right="43" w:firstLine="720"/>
        <w:jc w:val="center"/>
        <w:rPr>
          <w:b/>
        </w:rPr>
      </w:pPr>
      <w:proofErr w:type="gramStart"/>
      <w:r>
        <w:rPr>
          <w:b/>
        </w:rPr>
        <w:t>privind</w:t>
      </w:r>
      <w:proofErr w:type="gramEnd"/>
      <w:r>
        <w:rPr>
          <w:b/>
        </w:rPr>
        <w:t xml:space="preserve"> aprobarea Planului Urbanistic Zonal </w:t>
      </w:r>
    </w:p>
    <w:p w:rsidR="00AB04F6" w:rsidRPr="00C1552C" w:rsidRDefault="00AB04F6" w:rsidP="00AB04F6">
      <w:pPr>
        <w:ind w:right="43" w:firstLine="720"/>
        <w:jc w:val="center"/>
        <w:rPr>
          <w:b/>
        </w:rPr>
      </w:pPr>
      <w:r w:rsidRPr="00C1552C">
        <w:rPr>
          <w:b/>
        </w:rPr>
        <w:t>”Dezvoltare zonă mixtă: locuin</w:t>
      </w:r>
      <w:r w:rsidR="00C1552C" w:rsidRPr="00C1552C">
        <w:rPr>
          <w:b/>
        </w:rPr>
        <w:t>t</w:t>
      </w:r>
      <w:r w:rsidRPr="00C1552C">
        <w:rPr>
          <w:b/>
        </w:rPr>
        <w:t xml:space="preserve">e colective </w:t>
      </w:r>
      <w:r w:rsidR="00C1552C" w:rsidRPr="00C1552C">
        <w:rPr>
          <w:b/>
        </w:rPr>
        <w:t>s</w:t>
      </w:r>
      <w:r w:rsidRPr="00C1552C">
        <w:rPr>
          <w:b/>
        </w:rPr>
        <w:t xml:space="preserve">i servicii”, </w:t>
      </w:r>
    </w:p>
    <w:p w:rsidR="00AB04F6" w:rsidRDefault="00AB04F6" w:rsidP="00AB04F6">
      <w:pPr>
        <w:ind w:right="43" w:firstLine="720"/>
        <w:jc w:val="center"/>
        <w:rPr>
          <w:b/>
        </w:rPr>
      </w:pPr>
      <w:proofErr w:type="gramStart"/>
      <w:r w:rsidRPr="00C1552C">
        <w:rPr>
          <w:b/>
        </w:rPr>
        <w:t>str</w:t>
      </w:r>
      <w:proofErr w:type="gramEnd"/>
      <w:r w:rsidRPr="00C1552C">
        <w:rPr>
          <w:b/>
        </w:rPr>
        <w:t>. Bucovinei, nr. 73, intravilan Timişoara</w:t>
      </w:r>
    </w:p>
    <w:p w:rsidR="00AB04F6" w:rsidRDefault="00AB04F6" w:rsidP="00AB04F6">
      <w:pPr>
        <w:rPr>
          <w:b/>
          <w:color w:val="000000"/>
        </w:rPr>
      </w:pPr>
    </w:p>
    <w:p w:rsidR="00AB04F6" w:rsidRDefault="00AB04F6" w:rsidP="00AB04F6">
      <w:pPr>
        <w:ind w:right="43" w:firstLine="720"/>
        <w:jc w:val="both"/>
        <w:rPr>
          <w:b/>
        </w:rPr>
      </w:pPr>
      <w:proofErr w:type="gramStart"/>
      <w:r>
        <w:t xml:space="preserve">Având în vedere </w:t>
      </w:r>
      <w:r>
        <w:rPr>
          <w:b/>
        </w:rPr>
        <w:t>Expunerea de motive nr.</w:t>
      </w:r>
      <w:proofErr w:type="gramEnd"/>
      <w:r>
        <w:rPr>
          <w:b/>
        </w:rPr>
        <w:t xml:space="preserve"> </w:t>
      </w:r>
      <w:r>
        <w:t>UR2017</w:t>
      </w:r>
      <w:r w:rsidRPr="00C1552C">
        <w:t>-017742/</w:t>
      </w:r>
      <w:r w:rsidR="00C1552C" w:rsidRPr="00C1552C">
        <w:t>06.11</w:t>
      </w:r>
      <w:r w:rsidRPr="00C1552C">
        <w:t>.2017</w:t>
      </w:r>
      <w:r>
        <w:rPr>
          <w:color w:val="FF3333"/>
        </w:rPr>
        <w:t xml:space="preserve"> </w:t>
      </w:r>
      <w:r>
        <w:t xml:space="preserve">a Primarului </w:t>
      </w:r>
      <w:r>
        <w:rPr>
          <w:b/>
        </w:rPr>
        <w:t xml:space="preserve">Municipiului Timişoara şi Proiectul de hotărâre privind aprobarea Planului Urbanistic Zonal “PUZ – </w:t>
      </w:r>
      <w:r w:rsidRPr="00C1552C">
        <w:rPr>
          <w:b/>
        </w:rPr>
        <w:t>Dezvoltare zonă mixtă: locuin</w:t>
      </w:r>
      <w:r w:rsidR="00C1552C" w:rsidRPr="00C1552C">
        <w:rPr>
          <w:b/>
        </w:rPr>
        <w:t>t</w:t>
      </w:r>
      <w:r w:rsidRPr="00C1552C">
        <w:rPr>
          <w:b/>
        </w:rPr>
        <w:t xml:space="preserve">e colective </w:t>
      </w:r>
      <w:r w:rsidR="00C1552C" w:rsidRPr="00C1552C">
        <w:rPr>
          <w:b/>
        </w:rPr>
        <w:t>s</w:t>
      </w:r>
      <w:r w:rsidRPr="00C1552C">
        <w:rPr>
          <w:b/>
        </w:rPr>
        <w:t>i servicii”, str. Bucovinei, nr. 73, intravilan Timişoara,</w:t>
      </w:r>
      <w:r>
        <w:rPr>
          <w:b/>
        </w:rPr>
        <w:t xml:space="preserve"> </w:t>
      </w:r>
      <w:r w:rsidRPr="00C1552C">
        <w:rPr>
          <w:b/>
        </w:rPr>
        <w:t xml:space="preserve">prin care se propun </w:t>
      </w:r>
      <w:proofErr w:type="gramStart"/>
      <w:r w:rsidRPr="00C1552C">
        <w:rPr>
          <w:b/>
        </w:rPr>
        <w:t>func</w:t>
      </w:r>
      <w:r w:rsidR="00C1552C" w:rsidRPr="00C1552C">
        <w:rPr>
          <w:b/>
        </w:rPr>
        <w:t>t</w:t>
      </w:r>
      <w:r w:rsidRPr="00C1552C">
        <w:rPr>
          <w:b/>
        </w:rPr>
        <w:t>iuni  mixte</w:t>
      </w:r>
      <w:proofErr w:type="gramEnd"/>
      <w:r w:rsidRPr="00C1552C">
        <w:rPr>
          <w:b/>
        </w:rPr>
        <w:t>: locuin</w:t>
      </w:r>
      <w:r w:rsidR="00C1552C" w:rsidRPr="00C1552C">
        <w:rPr>
          <w:b/>
        </w:rPr>
        <w:t>t</w:t>
      </w:r>
      <w:r w:rsidRPr="00C1552C">
        <w:rPr>
          <w:b/>
        </w:rPr>
        <w:t xml:space="preserve">e colective </w:t>
      </w:r>
      <w:r w:rsidR="00C1552C" w:rsidRPr="00C1552C">
        <w:rPr>
          <w:b/>
        </w:rPr>
        <w:t>s</w:t>
      </w:r>
      <w:r w:rsidRPr="00C1552C">
        <w:rPr>
          <w:b/>
        </w:rPr>
        <w:t>i servicii.</w:t>
      </w:r>
    </w:p>
    <w:p w:rsidR="00AB04F6" w:rsidRPr="00C1552C" w:rsidRDefault="00AB04F6" w:rsidP="00AB04F6">
      <w:pPr>
        <w:ind w:right="43" w:firstLine="720"/>
        <w:jc w:val="both"/>
        <w:rPr>
          <w:b/>
        </w:rPr>
      </w:pPr>
    </w:p>
    <w:p w:rsidR="00AB04F6" w:rsidRDefault="00AB04F6" w:rsidP="00AB04F6">
      <w:pPr>
        <w:ind w:right="43" w:firstLine="720"/>
        <w:jc w:val="both"/>
        <w:rPr>
          <w:b/>
        </w:rPr>
      </w:pPr>
      <w:r>
        <w:rPr>
          <w:b/>
        </w:rPr>
        <w:t>Facem următoarele precizări:</w:t>
      </w:r>
    </w:p>
    <w:p w:rsidR="00AB04F6" w:rsidRDefault="00AB04F6" w:rsidP="00AB04F6">
      <w:pPr>
        <w:ind w:right="43" w:firstLine="720"/>
        <w:jc w:val="both"/>
        <w:rPr>
          <w:b/>
        </w:rPr>
      </w:pPr>
    </w:p>
    <w:p w:rsidR="00AB04F6" w:rsidRDefault="00AB04F6" w:rsidP="00AB04F6">
      <w:pPr>
        <w:ind w:right="43" w:firstLine="720"/>
        <w:jc w:val="both"/>
        <w:rPr>
          <w:b/>
        </w:rPr>
      </w:pPr>
      <w:proofErr w:type="gramStart"/>
      <w:r>
        <w:t>Având în vedere solicitarea înregistrată cu nr.</w:t>
      </w:r>
      <w:proofErr w:type="gramEnd"/>
      <w:r>
        <w:t xml:space="preserve"> </w:t>
      </w:r>
      <w:r w:rsidRPr="00FF1EA4">
        <w:t>UR2017-017742/</w:t>
      </w:r>
      <w:r w:rsidR="003B7A99">
        <w:t>24</w:t>
      </w:r>
      <w:r w:rsidRPr="00FF1EA4">
        <w:t>.1</w:t>
      </w:r>
      <w:r w:rsidR="003B7A99">
        <w:t>0</w:t>
      </w:r>
      <w:r w:rsidRPr="00FF1EA4">
        <w:t>.2017</w:t>
      </w:r>
      <w:r>
        <w:rPr>
          <w:color w:val="FF3333"/>
        </w:rPr>
        <w:t>,</w:t>
      </w:r>
      <w:r>
        <w:t xml:space="preserve"> privind aprobarea Planului Urbanistic </w:t>
      </w:r>
      <w:proofErr w:type="gramStart"/>
      <w:r>
        <w:t xml:space="preserve">Zonal </w:t>
      </w:r>
      <w:r w:rsidRPr="00FF1EA4">
        <w:rPr>
          <w:b/>
        </w:rPr>
        <w:t>”</w:t>
      </w:r>
      <w:proofErr w:type="gramEnd"/>
      <w:r w:rsidRPr="00FF1EA4">
        <w:rPr>
          <w:b/>
        </w:rPr>
        <w:t>Dezvoltare zonă mixtă: locuin</w:t>
      </w:r>
      <w:r w:rsidR="00C1552C" w:rsidRPr="00FF1EA4">
        <w:rPr>
          <w:b/>
        </w:rPr>
        <w:t>t</w:t>
      </w:r>
      <w:r w:rsidRPr="00FF1EA4">
        <w:rPr>
          <w:b/>
        </w:rPr>
        <w:t xml:space="preserve">e colective </w:t>
      </w:r>
      <w:r w:rsidR="00C1552C" w:rsidRPr="00FF1EA4">
        <w:rPr>
          <w:b/>
        </w:rPr>
        <w:t>s</w:t>
      </w:r>
      <w:r w:rsidRPr="00FF1EA4">
        <w:rPr>
          <w:b/>
        </w:rPr>
        <w:t>i servicii”, str. Bucovinei, nr. 73, intravilan Timişoara,</w:t>
      </w:r>
    </w:p>
    <w:p w:rsidR="00AB04F6" w:rsidRDefault="00AB04F6" w:rsidP="00AB04F6">
      <w:pPr>
        <w:ind w:right="43" w:firstLine="720"/>
        <w:jc w:val="both"/>
      </w:pPr>
      <w:r>
        <w:t xml:space="preserve">Având în vedere prevederile Planului Urbanistic General al Municipiului Timişoara aprobat cu HCL 157/2002, prelungit cu HCL 131/2017 şi „Conceptul general de dezvoltare </w:t>
      </w:r>
      <w:proofErr w:type="gramStart"/>
      <w:r>
        <w:t>urbană</w:t>
      </w:r>
      <w:proofErr w:type="gramEnd"/>
      <w:r>
        <w:t xml:space="preserve"> (MASTERPLAN)” aprobat cu H.C.L. 61/2012 promovate de către Consiliul Local al Municipiului Timişoara;</w:t>
      </w:r>
    </w:p>
    <w:p w:rsidR="00AB04F6" w:rsidRDefault="00AB04F6" w:rsidP="00AB04F6">
      <w:pPr>
        <w:ind w:firstLine="720"/>
        <w:jc w:val="both"/>
        <w:rPr>
          <w:b/>
        </w:rPr>
      </w:pPr>
      <w:proofErr w:type="gramStart"/>
      <w:r>
        <w:t>Ţinând cont de</w:t>
      </w:r>
      <w:r>
        <w:rPr>
          <w:color w:val="000000"/>
        </w:rPr>
        <w:t xml:space="preserve"> </w:t>
      </w:r>
      <w:r>
        <w:rPr>
          <w:b/>
        </w:rPr>
        <w:t>Avizul de Oportunitate nr.</w:t>
      </w:r>
      <w:proofErr w:type="gramEnd"/>
      <w:r w:rsidR="00C1552C">
        <w:rPr>
          <w:b/>
        </w:rPr>
        <w:t xml:space="preserve"> </w:t>
      </w:r>
      <w:r w:rsidRPr="0054080F">
        <w:rPr>
          <w:b/>
        </w:rPr>
        <w:t>24/08.12.2016</w:t>
      </w:r>
      <w:r>
        <w:rPr>
          <w:b/>
        </w:rPr>
        <w:t>, Avizul Arhitectului Sef nr.</w:t>
      </w:r>
      <w:r w:rsidRPr="0054080F">
        <w:rPr>
          <w:b/>
        </w:rPr>
        <w:t>23/21.09.2017</w:t>
      </w:r>
      <w:r>
        <w:rPr>
          <w:b/>
        </w:rPr>
        <w:t>;</w:t>
      </w:r>
    </w:p>
    <w:p w:rsidR="00AB04F6" w:rsidRDefault="00AB04F6" w:rsidP="00AB04F6">
      <w:pPr>
        <w:ind w:firstLine="720"/>
        <w:jc w:val="both"/>
        <w:rPr>
          <w:b/>
        </w:rPr>
      </w:pPr>
      <w:proofErr w:type="gramStart"/>
      <w:r>
        <w:t xml:space="preserve">Având în vedere prevederile </w:t>
      </w:r>
      <w:r>
        <w:rPr>
          <w:b/>
        </w:rPr>
        <w:t>Certificatului de Urbanism nr.</w:t>
      </w:r>
      <w:proofErr w:type="gramEnd"/>
      <w:r>
        <w:rPr>
          <w:b/>
        </w:rPr>
        <w:t xml:space="preserve"> </w:t>
      </w:r>
      <w:r w:rsidRPr="0054080F">
        <w:rPr>
          <w:b/>
        </w:rPr>
        <w:t xml:space="preserve">3369/10.08.2016 </w:t>
      </w:r>
      <w:r>
        <w:rPr>
          <w:b/>
        </w:rPr>
        <w:t xml:space="preserve">prelungit pana la data de </w:t>
      </w:r>
      <w:r w:rsidRPr="0054080F">
        <w:rPr>
          <w:b/>
        </w:rPr>
        <w:t>10.08.2018</w:t>
      </w:r>
      <w:proofErr w:type="gramStart"/>
      <w:r>
        <w:rPr>
          <w:b/>
        </w:rPr>
        <w:t>,  precum</w:t>
      </w:r>
      <w:proofErr w:type="gramEnd"/>
      <w:r>
        <w:rPr>
          <w:b/>
        </w:rPr>
        <w:t xml:space="preserve"> si adresei Agentiei pentru Protectia Mediului Timiş cu </w:t>
      </w:r>
      <w:r w:rsidRPr="0054080F">
        <w:rPr>
          <w:b/>
        </w:rPr>
        <w:t>nr.</w:t>
      </w:r>
      <w:r w:rsidR="00C1552C" w:rsidRPr="0054080F">
        <w:rPr>
          <w:b/>
        </w:rPr>
        <w:t xml:space="preserve"> </w:t>
      </w:r>
      <w:r w:rsidRPr="0054080F">
        <w:rPr>
          <w:b/>
        </w:rPr>
        <w:t xml:space="preserve">42 din 26.05.2017 </w:t>
      </w:r>
      <w:r>
        <w:rPr>
          <w:b/>
        </w:rPr>
        <w:t>prin care anunţă ca planul nu necesită evaluare de mediu şi se adoptă fără aviz de mediu,</w:t>
      </w:r>
    </w:p>
    <w:p w:rsidR="00AB04F6" w:rsidRDefault="00AB04F6" w:rsidP="00AB04F6">
      <w:pPr>
        <w:ind w:firstLine="720"/>
        <w:jc w:val="both"/>
        <w:rPr>
          <w:b/>
          <w:i/>
          <w:shd w:val="clear" w:color="auto" w:fill="C0C0C0"/>
        </w:rPr>
      </w:pPr>
      <w:r>
        <w:rPr>
          <w:b/>
          <w:i/>
          <w:shd w:val="clear" w:color="auto" w:fill="C0C0C0"/>
        </w:rPr>
        <w:t>Documentaţia Planului Urbanistic Zonal “PUZ – Dezvoltare zonă mixtă: locuin</w:t>
      </w:r>
      <w:r w:rsidR="0054080F">
        <w:rPr>
          <w:b/>
          <w:i/>
          <w:shd w:val="clear" w:color="auto" w:fill="C0C0C0"/>
        </w:rPr>
        <w:t>t</w:t>
      </w:r>
      <w:r>
        <w:rPr>
          <w:b/>
          <w:i/>
          <w:shd w:val="clear" w:color="auto" w:fill="C0C0C0"/>
        </w:rPr>
        <w:t xml:space="preserve">e colective </w:t>
      </w:r>
      <w:r w:rsidR="0054080F">
        <w:rPr>
          <w:b/>
          <w:i/>
          <w:shd w:val="clear" w:color="auto" w:fill="C0C0C0"/>
        </w:rPr>
        <w:t>s</w:t>
      </w:r>
      <w:r>
        <w:rPr>
          <w:b/>
          <w:i/>
          <w:shd w:val="clear" w:color="auto" w:fill="C0C0C0"/>
        </w:rPr>
        <w:t xml:space="preserve">i servicii”, str. Bucovinei, nr.73, intravilan Timişoara, beneficiari Ghiurcan </w:t>
      </w:r>
      <w:r w:rsidR="0054080F">
        <w:rPr>
          <w:b/>
          <w:i/>
          <w:shd w:val="clear" w:color="auto" w:fill="C0C0C0"/>
        </w:rPr>
        <w:t>S</w:t>
      </w:r>
      <w:r>
        <w:rPr>
          <w:b/>
          <w:i/>
          <w:shd w:val="clear" w:color="auto" w:fill="C0C0C0"/>
        </w:rPr>
        <w:t xml:space="preserve">tefan Alexandru </w:t>
      </w:r>
      <w:r w:rsidR="0054080F">
        <w:rPr>
          <w:b/>
          <w:i/>
          <w:shd w:val="clear" w:color="auto" w:fill="C0C0C0"/>
        </w:rPr>
        <w:t>s</w:t>
      </w:r>
      <w:r>
        <w:rPr>
          <w:b/>
          <w:i/>
          <w:shd w:val="clear" w:color="auto" w:fill="C0C0C0"/>
        </w:rPr>
        <w:t>i Ghiurcan Rodica, proiectant SC ARHITECT TRIMBITAS SRL, a fost afişată pe site-ul oficial al Primăriei Municipiului Timişoara începând c</w:t>
      </w:r>
      <w:r w:rsidR="0054080F">
        <w:rPr>
          <w:b/>
          <w:i/>
          <w:shd w:val="clear" w:color="auto" w:fill="C0C0C0"/>
        </w:rPr>
        <w:t>u luna martie 2017</w:t>
      </w:r>
      <w:r w:rsidRPr="0054080F">
        <w:rPr>
          <w:b/>
          <w:i/>
          <w:shd w:val="clear" w:color="auto" w:fill="C0C0C0"/>
        </w:rPr>
        <w:t xml:space="preserve">, cu ocazia demarării Etapei 2 – etapa elaborării propunerilor PUZ şi RLU aferent, de informare şi consultare a publicului, conform H.C.L. nr. </w:t>
      </w:r>
      <w:proofErr w:type="gramStart"/>
      <w:r w:rsidRPr="0054080F">
        <w:rPr>
          <w:b/>
          <w:i/>
          <w:shd w:val="clear" w:color="auto" w:fill="C0C0C0"/>
        </w:rPr>
        <w:t>140/2011, modificat prin H.C.L. nr.</w:t>
      </w:r>
      <w:proofErr w:type="gramEnd"/>
      <w:r w:rsidRPr="0054080F">
        <w:rPr>
          <w:b/>
          <w:i/>
          <w:shd w:val="clear" w:color="auto" w:fill="C0C0C0"/>
        </w:rPr>
        <w:t xml:space="preserve"> 43/2016, etapă finalizată prin afişarea pe site-ul Primăriei Municipiului Timişoara în </w:t>
      </w:r>
      <w:proofErr w:type="gramStart"/>
      <w:r w:rsidR="0054080F" w:rsidRPr="0054080F">
        <w:rPr>
          <w:b/>
          <w:i/>
          <w:shd w:val="clear" w:color="auto" w:fill="C0C0C0"/>
        </w:rPr>
        <w:t>luna</w:t>
      </w:r>
      <w:proofErr w:type="gramEnd"/>
      <w:r w:rsidR="0054080F" w:rsidRPr="0054080F">
        <w:rPr>
          <w:b/>
          <w:i/>
          <w:shd w:val="clear" w:color="auto" w:fill="C0C0C0"/>
        </w:rPr>
        <w:t xml:space="preserve"> mai 2017</w:t>
      </w:r>
      <w:r w:rsidRPr="0054080F">
        <w:rPr>
          <w:b/>
          <w:i/>
          <w:shd w:val="clear" w:color="auto" w:fill="C0C0C0"/>
        </w:rPr>
        <w:t>, a Raportului informării</w:t>
      </w:r>
      <w:r>
        <w:rPr>
          <w:b/>
          <w:i/>
          <w:shd w:val="clear" w:color="auto" w:fill="C0C0C0"/>
        </w:rPr>
        <w:t xml:space="preserve"> şi consultării publicului cu nr.UR2017-004447/04.05.2017;</w:t>
      </w:r>
    </w:p>
    <w:p w:rsidR="00AB04F6" w:rsidRDefault="00AB04F6" w:rsidP="00AB04F6">
      <w:pPr>
        <w:ind w:firstLine="720"/>
        <w:jc w:val="both"/>
        <w:rPr>
          <w:b/>
          <w:i/>
          <w:shd w:val="clear" w:color="auto" w:fill="C0C0C0"/>
        </w:rPr>
      </w:pPr>
      <w:proofErr w:type="gramStart"/>
      <w:r>
        <w:rPr>
          <w:b/>
          <w:i/>
          <w:shd w:val="clear" w:color="auto" w:fill="C0C0C0"/>
        </w:rPr>
        <w:t>Conform</w:t>
      </w:r>
      <w:proofErr w:type="gramEnd"/>
      <w:r>
        <w:rPr>
          <w:b/>
          <w:i/>
          <w:shd w:val="clear" w:color="auto" w:fill="C0C0C0"/>
        </w:rPr>
        <w:t xml:space="preserve"> procedurii prevăzută prin H.C.L. nr. 140/19.04.2011, modificat prin H.C.L. nr. 183/2017 privind aprobarea Regulamentului local de implicare a publicului in elaborarea sau revizuirea planurilor de urbanism si amenajare a teritoriului, documentatia PUZ “Dezvoltare zonă mixtă: locuin</w:t>
      </w:r>
      <w:r w:rsidR="0054080F">
        <w:rPr>
          <w:b/>
          <w:i/>
          <w:shd w:val="clear" w:color="auto" w:fill="C0C0C0"/>
        </w:rPr>
        <w:t>t</w:t>
      </w:r>
      <w:r>
        <w:rPr>
          <w:b/>
          <w:i/>
          <w:shd w:val="clear" w:color="auto" w:fill="C0C0C0"/>
        </w:rPr>
        <w:t xml:space="preserve">e colective </w:t>
      </w:r>
      <w:r w:rsidR="0054080F">
        <w:rPr>
          <w:b/>
          <w:i/>
          <w:shd w:val="clear" w:color="auto" w:fill="C0C0C0"/>
        </w:rPr>
        <w:t>s</w:t>
      </w:r>
      <w:r>
        <w:rPr>
          <w:b/>
          <w:i/>
          <w:shd w:val="clear" w:color="auto" w:fill="C0C0C0"/>
        </w:rPr>
        <w:t xml:space="preserve">i servicii” str. Bucovinei, nr.73, Timişoara se încadrează în Etapa 3 - etapa aprobării PUZ si RLU aferent (cap. 8.2.3., art. 63 din HCL nr. </w:t>
      </w:r>
      <w:proofErr w:type="gramStart"/>
      <w:r>
        <w:rPr>
          <w:b/>
          <w:i/>
          <w:shd w:val="clear" w:color="auto" w:fill="C0C0C0"/>
        </w:rPr>
        <w:t>140/2011, modif prin HCL nr.</w:t>
      </w:r>
      <w:proofErr w:type="gramEnd"/>
      <w:r>
        <w:rPr>
          <w:b/>
          <w:i/>
          <w:shd w:val="clear" w:color="auto" w:fill="C0C0C0"/>
        </w:rPr>
        <w:t xml:space="preserve"> </w:t>
      </w:r>
      <w:proofErr w:type="gramStart"/>
      <w:r>
        <w:rPr>
          <w:b/>
          <w:i/>
          <w:shd w:val="clear" w:color="auto" w:fill="C0C0C0"/>
        </w:rPr>
        <w:lastRenderedPageBreak/>
        <w:t>138/2012), în baza Dispoziţiei Primarului nr</w:t>
      </w:r>
      <w:r w:rsidRPr="0054080F">
        <w:rPr>
          <w:b/>
          <w:i/>
          <w:shd w:val="clear" w:color="auto" w:fill="C0C0C0"/>
        </w:rPr>
        <w:t>.</w:t>
      </w:r>
      <w:proofErr w:type="gramEnd"/>
      <w:r w:rsidRPr="0054080F">
        <w:rPr>
          <w:b/>
          <w:i/>
          <w:shd w:val="clear" w:color="auto" w:fill="C0C0C0"/>
        </w:rPr>
        <w:t xml:space="preserve"> </w:t>
      </w:r>
      <w:proofErr w:type="gramStart"/>
      <w:r w:rsidRPr="0054080F">
        <w:rPr>
          <w:b/>
          <w:i/>
          <w:shd w:val="clear" w:color="auto" w:fill="C0C0C0"/>
        </w:rPr>
        <w:t>92/ 15.01.2007 privind</w:t>
      </w:r>
      <w:r>
        <w:rPr>
          <w:b/>
          <w:i/>
          <w:shd w:val="clear" w:color="auto" w:fill="C0C0C0"/>
        </w:rPr>
        <w:t xml:space="preserve"> aprobarea Procedurii pentru aplicarea prevederilor Legii nr.</w:t>
      </w:r>
      <w:proofErr w:type="gramEnd"/>
      <w:r>
        <w:rPr>
          <w:b/>
          <w:i/>
          <w:shd w:val="clear" w:color="auto" w:fill="C0C0C0"/>
        </w:rPr>
        <w:t xml:space="preserve"> 52/2003 privind transparenţa decizională în administraţia publică;</w:t>
      </w:r>
    </w:p>
    <w:p w:rsidR="00AB04F6" w:rsidRPr="0054080F" w:rsidRDefault="00AB04F6" w:rsidP="00AB04F6">
      <w:pPr>
        <w:ind w:firstLine="720"/>
        <w:jc w:val="both"/>
        <w:rPr>
          <w:b/>
        </w:rPr>
      </w:pPr>
      <w:r>
        <w:t xml:space="preserve">Planul Urbanistic Zonal </w:t>
      </w:r>
      <w:r>
        <w:rPr>
          <w:b/>
        </w:rPr>
        <w:t>“</w:t>
      </w:r>
      <w:r w:rsidRPr="0054080F">
        <w:rPr>
          <w:b/>
        </w:rPr>
        <w:t>Dezvoltare zonă mixtă: locuin</w:t>
      </w:r>
      <w:r w:rsidR="0054080F" w:rsidRPr="0054080F">
        <w:rPr>
          <w:b/>
        </w:rPr>
        <w:t>t</w:t>
      </w:r>
      <w:r w:rsidRPr="0054080F">
        <w:rPr>
          <w:b/>
        </w:rPr>
        <w:t xml:space="preserve">e colective </w:t>
      </w:r>
      <w:r w:rsidR="0054080F" w:rsidRPr="0054080F">
        <w:rPr>
          <w:b/>
        </w:rPr>
        <w:t>s</w:t>
      </w:r>
      <w:r w:rsidRPr="0054080F">
        <w:rPr>
          <w:b/>
        </w:rPr>
        <w:t>i servicii”, str. Bucovinei, nr. 73, intravilan Timişoara,</w:t>
      </w:r>
      <w:r w:rsidRPr="0054080F">
        <w:t xml:space="preserve"> </w:t>
      </w:r>
      <w:proofErr w:type="gramStart"/>
      <w:r w:rsidRPr="0054080F">
        <w:t>este</w:t>
      </w:r>
      <w:proofErr w:type="gramEnd"/>
      <w:r w:rsidRPr="0054080F">
        <w:t xml:space="preserve"> elaborat de </w:t>
      </w:r>
      <w:r w:rsidRPr="0054080F">
        <w:rPr>
          <w:b/>
        </w:rPr>
        <w:t>proiectantul SC ARHITECT TRIMBITAS SRL</w:t>
      </w:r>
      <w:r w:rsidRPr="0054080F">
        <w:t>, proiect nr</w:t>
      </w:r>
      <w:r w:rsidRPr="0054080F">
        <w:rPr>
          <w:b/>
        </w:rPr>
        <w:t>.</w:t>
      </w:r>
      <w:r w:rsidR="0054080F">
        <w:rPr>
          <w:b/>
        </w:rPr>
        <w:t xml:space="preserve"> </w:t>
      </w:r>
      <w:proofErr w:type="gramStart"/>
      <w:r w:rsidRPr="0054080F">
        <w:rPr>
          <w:b/>
        </w:rPr>
        <w:t>149/2016</w:t>
      </w:r>
      <w:r w:rsidRPr="0054080F">
        <w:t xml:space="preserve">, la cererea beneficiarilor </w:t>
      </w:r>
      <w:r w:rsidRPr="0054080F">
        <w:rPr>
          <w:b/>
        </w:rPr>
        <w:t xml:space="preserve">Ghiurcan </w:t>
      </w:r>
      <w:r w:rsidR="0054080F" w:rsidRPr="0054080F">
        <w:rPr>
          <w:b/>
        </w:rPr>
        <w:t>S</w:t>
      </w:r>
      <w:r w:rsidRPr="0054080F">
        <w:rPr>
          <w:b/>
        </w:rPr>
        <w:t xml:space="preserve">tefan Alexandru </w:t>
      </w:r>
      <w:r w:rsidR="0054080F" w:rsidRPr="0054080F">
        <w:rPr>
          <w:b/>
        </w:rPr>
        <w:t>s</w:t>
      </w:r>
      <w:r w:rsidRPr="0054080F">
        <w:rPr>
          <w:b/>
        </w:rPr>
        <w:t>i Ghiurcan Rodica.</w:t>
      </w:r>
      <w:proofErr w:type="gramEnd"/>
    </w:p>
    <w:p w:rsidR="00AB04F6" w:rsidRPr="0054080F" w:rsidRDefault="00AB04F6" w:rsidP="00AB04F6">
      <w:pPr>
        <w:ind w:firstLine="720"/>
        <w:jc w:val="both"/>
      </w:pPr>
      <w:r w:rsidRPr="0054080F">
        <w:t xml:space="preserve">Terenul reglementat in cadrul </w:t>
      </w:r>
      <w:proofErr w:type="gramStart"/>
      <w:r w:rsidRPr="0054080F">
        <w:rPr>
          <w:b/>
        </w:rPr>
        <w:t>PUZ ”</w:t>
      </w:r>
      <w:proofErr w:type="gramEnd"/>
      <w:r w:rsidRPr="0054080F">
        <w:rPr>
          <w:b/>
        </w:rPr>
        <w:t>Dezvoltare zonă mixtă: locuin</w:t>
      </w:r>
      <w:r w:rsidR="0054080F" w:rsidRPr="0054080F">
        <w:rPr>
          <w:b/>
        </w:rPr>
        <w:t>t</w:t>
      </w:r>
      <w:r w:rsidRPr="0054080F">
        <w:rPr>
          <w:b/>
        </w:rPr>
        <w:t xml:space="preserve">e colective </w:t>
      </w:r>
      <w:r w:rsidR="0054080F" w:rsidRPr="0054080F">
        <w:rPr>
          <w:b/>
        </w:rPr>
        <w:t>s</w:t>
      </w:r>
      <w:r w:rsidRPr="0054080F">
        <w:rPr>
          <w:b/>
        </w:rPr>
        <w:t>i servicii” str. Bucovinei, nr. 73, Timişoara</w:t>
      </w:r>
      <w:r w:rsidRPr="0054080F">
        <w:t>, este situat partea de nord a Municipiului Timisoara, în intravilan, la intersec</w:t>
      </w:r>
      <w:r w:rsidR="0054080F" w:rsidRPr="0054080F">
        <w:t>t</w:t>
      </w:r>
      <w:r w:rsidRPr="0054080F">
        <w:t>ia Căii Torontalului cu Strada Bucovinei..</w:t>
      </w:r>
    </w:p>
    <w:p w:rsidR="00AB04F6" w:rsidRPr="0054080F" w:rsidRDefault="00AB04F6" w:rsidP="00AB04F6">
      <w:pPr>
        <w:ind w:firstLine="720"/>
        <w:jc w:val="both"/>
      </w:pPr>
      <w:r w:rsidRPr="0054080F">
        <w:t xml:space="preserve">Vecinătăţi: terenul studiat are front la Calea Torontalului pe latura de </w:t>
      </w:r>
      <w:proofErr w:type="gramStart"/>
      <w:r w:rsidRPr="0054080F">
        <w:t>est</w:t>
      </w:r>
      <w:proofErr w:type="gramEnd"/>
      <w:r w:rsidRPr="0054080F">
        <w:t xml:space="preserve">, front la Strada Bucovinei pe latura de sud, </w:t>
      </w:r>
      <w:r w:rsidR="0054080F" w:rsidRPr="0054080F">
        <w:t>s</w:t>
      </w:r>
      <w:r w:rsidRPr="0054080F">
        <w:t xml:space="preserve">i se învecinează cu parcelele identificate prin nr.cad. </w:t>
      </w:r>
      <w:proofErr w:type="gramStart"/>
      <w:r w:rsidRPr="0054080F">
        <w:t xml:space="preserve">430544 la vest </w:t>
      </w:r>
      <w:r w:rsidR="0054080F" w:rsidRPr="0054080F">
        <w:t>s</w:t>
      </w:r>
      <w:r w:rsidRPr="0054080F">
        <w:t>i nr.top.</w:t>
      </w:r>
      <w:proofErr w:type="gramEnd"/>
      <w:r w:rsidRPr="0054080F">
        <w:t xml:space="preserve"> </w:t>
      </w:r>
      <w:proofErr w:type="gramStart"/>
      <w:r w:rsidRPr="0054080F">
        <w:t>23312 la nord.</w:t>
      </w:r>
      <w:proofErr w:type="gramEnd"/>
    </w:p>
    <w:p w:rsidR="00AB04F6" w:rsidRPr="0054080F" w:rsidRDefault="00AB04F6" w:rsidP="00AB04F6">
      <w:pPr>
        <w:ind w:firstLine="720"/>
        <w:jc w:val="both"/>
        <w:rPr>
          <w:b/>
        </w:rPr>
      </w:pPr>
      <w:r>
        <w:rPr>
          <w:color w:val="000000"/>
        </w:rPr>
        <w:t>Pentru terenul</w:t>
      </w:r>
      <w:r>
        <w:t xml:space="preserve"> reglementat in cadrul PUZ </w:t>
      </w:r>
      <w:r>
        <w:rPr>
          <w:b/>
        </w:rPr>
        <w:t>“</w:t>
      </w:r>
      <w:r w:rsidRPr="0054080F">
        <w:rPr>
          <w:b/>
        </w:rPr>
        <w:t>Dezvoltare zonă mixtă: locuin</w:t>
      </w:r>
      <w:r w:rsidR="0054080F" w:rsidRPr="0054080F">
        <w:rPr>
          <w:b/>
        </w:rPr>
        <w:t>t</w:t>
      </w:r>
      <w:r w:rsidRPr="0054080F">
        <w:rPr>
          <w:b/>
        </w:rPr>
        <w:t xml:space="preserve">e colective </w:t>
      </w:r>
      <w:r w:rsidR="0054080F" w:rsidRPr="0054080F">
        <w:rPr>
          <w:b/>
        </w:rPr>
        <w:t>s</w:t>
      </w:r>
      <w:r w:rsidRPr="0054080F">
        <w:rPr>
          <w:b/>
        </w:rPr>
        <w:t>i servicii”, str. Bucovinei, nr. 73, intravilan Timişoara,</w:t>
      </w:r>
      <w:r>
        <w:t xml:space="preserve"> a fost ata</w:t>
      </w:r>
      <w:r w:rsidR="0054080F">
        <w:t>s</w:t>
      </w:r>
      <w:r>
        <w:t xml:space="preserve">at si </w:t>
      </w:r>
      <w:r w:rsidRPr="0054080F">
        <w:rPr>
          <w:b/>
        </w:rPr>
        <w:t>Avizul Direc</w:t>
      </w:r>
      <w:r w:rsidR="0054080F" w:rsidRPr="0054080F">
        <w:rPr>
          <w:b/>
        </w:rPr>
        <w:t>t</w:t>
      </w:r>
      <w:r w:rsidRPr="0054080F">
        <w:rPr>
          <w:b/>
        </w:rPr>
        <w:t>iei Jude</w:t>
      </w:r>
      <w:r w:rsidR="0054080F" w:rsidRPr="0054080F">
        <w:rPr>
          <w:b/>
        </w:rPr>
        <w:t>t</w:t>
      </w:r>
      <w:r w:rsidRPr="0054080F">
        <w:rPr>
          <w:b/>
        </w:rPr>
        <w:t>ene pentru Cultură Timi</w:t>
      </w:r>
      <w:r w:rsidR="0054080F" w:rsidRPr="0054080F">
        <w:rPr>
          <w:b/>
        </w:rPr>
        <w:t>s</w:t>
      </w:r>
      <w:r w:rsidRPr="0054080F">
        <w:rPr>
          <w:b/>
        </w:rPr>
        <w:t xml:space="preserve"> nr. 2550/25.07.2017.</w:t>
      </w:r>
    </w:p>
    <w:p w:rsidR="00AB04F6" w:rsidRDefault="00AB04F6" w:rsidP="00AB04F6">
      <w:pPr>
        <w:ind w:firstLine="720"/>
        <w:jc w:val="both"/>
      </w:pPr>
      <w:r>
        <w:t xml:space="preserve">Prin prezentul Plan Urbanistic Zonal </w:t>
      </w:r>
      <w:r>
        <w:rPr>
          <w:b/>
        </w:rPr>
        <w:t>“</w:t>
      </w:r>
      <w:r w:rsidRPr="0054080F">
        <w:rPr>
          <w:b/>
        </w:rPr>
        <w:t>Dezvoltare zonă mixtă: locuin</w:t>
      </w:r>
      <w:r w:rsidR="0054080F">
        <w:rPr>
          <w:b/>
        </w:rPr>
        <w:t>t</w:t>
      </w:r>
      <w:r w:rsidRPr="0054080F">
        <w:rPr>
          <w:b/>
        </w:rPr>
        <w:t xml:space="preserve">e colective </w:t>
      </w:r>
      <w:r w:rsidR="0054080F">
        <w:rPr>
          <w:b/>
        </w:rPr>
        <w:t>s</w:t>
      </w:r>
      <w:r w:rsidRPr="0054080F">
        <w:rPr>
          <w:b/>
        </w:rPr>
        <w:t xml:space="preserve">i servicii”, str. Bucovinei, nr. </w:t>
      </w:r>
      <w:proofErr w:type="gramStart"/>
      <w:r w:rsidRPr="0054080F">
        <w:rPr>
          <w:b/>
        </w:rPr>
        <w:t>73, intravilan Timişoara,</w:t>
      </w:r>
      <w:r>
        <w:rPr>
          <w:color w:val="000000"/>
        </w:rPr>
        <w:t xml:space="preserve"> </w:t>
      </w:r>
      <w:r>
        <w:t>nu se încalcă prevederile OUG nr.</w:t>
      </w:r>
      <w:proofErr w:type="gramEnd"/>
      <w:r>
        <w:t xml:space="preserve"> </w:t>
      </w:r>
      <w:proofErr w:type="gramStart"/>
      <w:r>
        <w:t>114/2007 privind modificarea si completarea OUG nr.</w:t>
      </w:r>
      <w:proofErr w:type="gramEnd"/>
      <w:r>
        <w:t xml:space="preserve"> </w:t>
      </w:r>
      <w:proofErr w:type="gramStart"/>
      <w:r>
        <w:t>195/2005, privind protecţia mediului.</w:t>
      </w:r>
      <w:proofErr w:type="gramEnd"/>
    </w:p>
    <w:p w:rsidR="00AB04F6" w:rsidRPr="000D6F9A" w:rsidRDefault="00AB04F6" w:rsidP="00AB04F6">
      <w:pPr>
        <w:ind w:firstLine="720"/>
        <w:jc w:val="both"/>
        <w:rPr>
          <w:b/>
        </w:rPr>
      </w:pPr>
      <w:r w:rsidRPr="0054080F">
        <w:rPr>
          <w:b/>
        </w:rPr>
        <w:t>Terenul reglementat în suprafaţă de 4131 mp</w:t>
      </w:r>
      <w:r w:rsidRPr="0054080F">
        <w:t xml:space="preserve"> </w:t>
      </w:r>
      <w:proofErr w:type="gramStart"/>
      <w:r w:rsidRPr="0054080F">
        <w:t>este</w:t>
      </w:r>
      <w:proofErr w:type="gramEnd"/>
      <w:r w:rsidRPr="0054080F">
        <w:t xml:space="preserve"> înscris în</w:t>
      </w:r>
      <w:r w:rsidRPr="000D6F9A">
        <w:t xml:space="preserve"> </w:t>
      </w:r>
      <w:r w:rsidRPr="0054080F">
        <w:rPr>
          <w:b/>
        </w:rPr>
        <w:t xml:space="preserve">CF nr. </w:t>
      </w:r>
      <w:proofErr w:type="gramStart"/>
      <w:r w:rsidRPr="0054080F">
        <w:rPr>
          <w:b/>
        </w:rPr>
        <w:t>415170, Nr.top.</w:t>
      </w:r>
      <w:proofErr w:type="gramEnd"/>
      <w:r w:rsidRPr="0054080F">
        <w:rPr>
          <w:b/>
        </w:rPr>
        <w:t xml:space="preserve"> </w:t>
      </w:r>
      <w:proofErr w:type="gramStart"/>
      <w:r w:rsidRPr="0054080F">
        <w:rPr>
          <w:b/>
        </w:rPr>
        <w:t>A541/3/35/a/1/a/1/a/1</w:t>
      </w:r>
      <w:r w:rsidRPr="000D6F9A">
        <w:t xml:space="preserve">, având ca proprietari pe </w:t>
      </w:r>
      <w:r w:rsidRPr="000D6F9A">
        <w:rPr>
          <w:b/>
        </w:rPr>
        <w:t xml:space="preserve">Ghiurcan </w:t>
      </w:r>
      <w:r w:rsidR="000D6F9A" w:rsidRPr="000D6F9A">
        <w:rPr>
          <w:b/>
        </w:rPr>
        <w:t>S</w:t>
      </w:r>
      <w:r w:rsidRPr="000D6F9A">
        <w:rPr>
          <w:b/>
        </w:rPr>
        <w:t xml:space="preserve">tefan Alexandru </w:t>
      </w:r>
      <w:r w:rsidR="000D6F9A" w:rsidRPr="000D6F9A">
        <w:rPr>
          <w:b/>
        </w:rPr>
        <w:t>s</w:t>
      </w:r>
      <w:r w:rsidRPr="000D6F9A">
        <w:rPr>
          <w:b/>
        </w:rPr>
        <w:t>i so</w:t>
      </w:r>
      <w:r w:rsidR="000D6F9A" w:rsidRPr="000D6F9A">
        <w:rPr>
          <w:b/>
        </w:rPr>
        <w:t>t</w:t>
      </w:r>
      <w:r w:rsidRPr="000D6F9A">
        <w:rPr>
          <w:b/>
        </w:rPr>
        <w:t>ia Ghiurcan Rodica.</w:t>
      </w:r>
      <w:proofErr w:type="gramEnd"/>
    </w:p>
    <w:p w:rsidR="00AB04F6" w:rsidRDefault="00AB04F6" w:rsidP="00AB04F6">
      <w:pPr>
        <w:ind w:firstLine="720"/>
        <w:jc w:val="both"/>
        <w:rPr>
          <w:color w:val="000000"/>
        </w:rPr>
      </w:pPr>
      <w:r>
        <w:rPr>
          <w:color w:val="000000"/>
        </w:rPr>
        <w:t xml:space="preserve">Planul Urbanistic </w:t>
      </w:r>
      <w:proofErr w:type="gramStart"/>
      <w:r>
        <w:rPr>
          <w:color w:val="000000"/>
        </w:rPr>
        <w:t xml:space="preserve">Zonal </w:t>
      </w:r>
      <w:r w:rsidRPr="000D6F9A">
        <w:rPr>
          <w:b/>
        </w:rPr>
        <w:t>”</w:t>
      </w:r>
      <w:proofErr w:type="gramEnd"/>
      <w:r w:rsidRPr="000D6F9A">
        <w:rPr>
          <w:b/>
        </w:rPr>
        <w:t>Dezvoltare zonă mixtă: locuin</w:t>
      </w:r>
      <w:r w:rsidR="000D6F9A" w:rsidRPr="000D6F9A">
        <w:rPr>
          <w:b/>
        </w:rPr>
        <w:t>t</w:t>
      </w:r>
      <w:r w:rsidRPr="000D6F9A">
        <w:rPr>
          <w:b/>
        </w:rPr>
        <w:t xml:space="preserve">e colective </w:t>
      </w:r>
      <w:r w:rsidR="000D6F9A" w:rsidRPr="000D6F9A">
        <w:rPr>
          <w:b/>
        </w:rPr>
        <w:t>s</w:t>
      </w:r>
      <w:r w:rsidRPr="000D6F9A">
        <w:rPr>
          <w:b/>
        </w:rPr>
        <w:t>i servicii” str. Bucovinei, nr. 73, Timişoara</w:t>
      </w:r>
      <w:proofErr w:type="gramStart"/>
      <w:r w:rsidRPr="000D6F9A">
        <w:t>,  propune</w:t>
      </w:r>
      <w:proofErr w:type="gramEnd"/>
      <w:r w:rsidRPr="000D6F9A">
        <w:t xml:space="preserve"> dezvoltarea unei zone mixte: locuire colectivă şi servicii.</w:t>
      </w:r>
    </w:p>
    <w:p w:rsidR="00AB04F6" w:rsidRDefault="00AB04F6" w:rsidP="00AB04F6">
      <w:pPr>
        <w:ind w:firstLine="720"/>
        <w:jc w:val="both"/>
        <w:rPr>
          <w:b/>
        </w:rPr>
      </w:pPr>
      <w:r>
        <w:t xml:space="preserve">Accesul auto si pietonal pe terenul reglementat se </w:t>
      </w:r>
      <w:proofErr w:type="gramStart"/>
      <w:r>
        <w:t>va</w:t>
      </w:r>
      <w:proofErr w:type="gramEnd"/>
      <w:r>
        <w:t xml:space="preserve"> asigura conform </w:t>
      </w:r>
      <w:r>
        <w:rPr>
          <w:b/>
        </w:rPr>
        <w:t xml:space="preserve">avizului Comisiei de Circulaţie </w:t>
      </w:r>
      <w:r w:rsidRPr="000D6F9A">
        <w:rPr>
          <w:b/>
        </w:rPr>
        <w:t>nr.DT2017-001369/04.05.2017.</w:t>
      </w:r>
    </w:p>
    <w:p w:rsidR="00AB04F6" w:rsidRDefault="00AB04F6" w:rsidP="00AB04F6">
      <w:pPr>
        <w:ind w:firstLine="720"/>
        <w:jc w:val="both"/>
      </w:pPr>
      <w:r>
        <w:t xml:space="preserve">Obtinerea Autorizatiei de Construire este conditionata de </w:t>
      </w:r>
      <w:r>
        <w:rPr>
          <w:b/>
        </w:rPr>
        <w:t>realizarea</w:t>
      </w:r>
      <w:r>
        <w:t xml:space="preserve"> locurilor de parcare necesare functiunii propuse exclusiv pe parcela detinută de beneficiari, în conformitate cu Anexa 2 din R.L.U. aferenta P.U.G., aprobat prin HCL nr.157/05.08.2002 si prelungit prin HCL nr.131/2017 aferenta P.U.G., şi în conformitate cu Avizul Comisiei de Circulaţie </w:t>
      </w:r>
      <w:r w:rsidRPr="000D6F9A">
        <w:t>nr.DT2017-001369/04.05.2017</w:t>
      </w:r>
      <w:r>
        <w:rPr>
          <w:shd w:val="clear" w:color="auto" w:fill="FFFF00"/>
        </w:rPr>
        <w:t>.</w:t>
      </w:r>
    </w:p>
    <w:p w:rsidR="00AB04F6" w:rsidRDefault="00AB04F6" w:rsidP="00AB04F6">
      <w:pPr>
        <w:ind w:firstLine="720"/>
        <w:jc w:val="both"/>
      </w:pPr>
    </w:p>
    <w:p w:rsidR="00AB04F6" w:rsidRDefault="00AB04F6" w:rsidP="00AB04F6">
      <w:pPr>
        <w:ind w:firstLine="720"/>
        <w:jc w:val="both"/>
        <w:rPr>
          <w:b/>
          <w:color w:val="000000"/>
        </w:rPr>
      </w:pPr>
      <w:r>
        <w:rPr>
          <w:b/>
          <w:color w:val="000000"/>
        </w:rPr>
        <w:t>Indicii propuşi prin documentaţie şi conform Avizului Arhitectului Şef sunt următorii:</w:t>
      </w:r>
    </w:p>
    <w:p w:rsidR="00AB04F6" w:rsidRDefault="00AB04F6" w:rsidP="00AB04F6">
      <w:pPr>
        <w:ind w:firstLine="720"/>
        <w:jc w:val="both"/>
        <w:rPr>
          <w:b/>
          <w:color w:val="000000"/>
        </w:rPr>
      </w:pPr>
    </w:p>
    <w:p w:rsidR="00AB04F6" w:rsidRDefault="00AB04F6" w:rsidP="00AB04F6">
      <w:pPr>
        <w:numPr>
          <w:ilvl w:val="0"/>
          <w:numId w:val="11"/>
        </w:numPr>
        <w:spacing w:line="276" w:lineRule="auto"/>
        <w:ind w:left="710" w:hanging="360"/>
        <w:jc w:val="both"/>
      </w:pPr>
      <w:r>
        <w:rPr>
          <w:b/>
        </w:rPr>
        <w:t xml:space="preserve">Regim de construire: </w:t>
      </w:r>
      <w:r w:rsidRPr="000D6F9A">
        <w:rPr>
          <w:b/>
          <w:color w:val="000000"/>
        </w:rPr>
        <w:t>de la (1-3S)+P+8E (spre Calea Torontalului) descrescător la  (1-3S)+P+4E (către vest);</w:t>
      </w:r>
      <w:r>
        <w:rPr>
          <w:shd w:val="clear" w:color="auto" w:fill="FFFF00"/>
        </w:rPr>
        <w:t xml:space="preserve"> </w:t>
      </w:r>
    </w:p>
    <w:p w:rsidR="00AC2DAA" w:rsidRPr="00AC2DAA" w:rsidRDefault="00AB04F6" w:rsidP="00AC2DAA">
      <w:pPr>
        <w:numPr>
          <w:ilvl w:val="0"/>
          <w:numId w:val="11"/>
        </w:numPr>
        <w:spacing w:line="276" w:lineRule="auto"/>
        <w:ind w:left="710" w:hanging="360"/>
        <w:jc w:val="both"/>
      </w:pPr>
      <w:r w:rsidRPr="00614297">
        <w:rPr>
          <w:color w:val="FF0000"/>
        </w:rPr>
        <w:tab/>
      </w:r>
      <w:r w:rsidRPr="00614297">
        <w:rPr>
          <w:b/>
        </w:rPr>
        <w:t xml:space="preserve">Funcţiuni predominante: </w:t>
      </w:r>
      <w:r w:rsidRPr="00614297">
        <w:rPr>
          <w:b/>
          <w:color w:val="000000"/>
        </w:rPr>
        <w:t xml:space="preserve">zonă mixtă - locuire colectivă </w:t>
      </w:r>
      <w:r w:rsidR="000D6F9A" w:rsidRPr="00614297">
        <w:rPr>
          <w:b/>
          <w:color w:val="000000"/>
        </w:rPr>
        <w:t>s</w:t>
      </w:r>
      <w:r w:rsidRPr="00614297">
        <w:rPr>
          <w:b/>
          <w:color w:val="000000"/>
        </w:rPr>
        <w:t>i servicii</w:t>
      </w:r>
      <w:r w:rsidRPr="00614297">
        <w:rPr>
          <w:b/>
        </w:rPr>
        <w:t>;</w:t>
      </w:r>
    </w:p>
    <w:p w:rsidR="00AB04F6" w:rsidRDefault="00AB04F6" w:rsidP="00AB04F6">
      <w:pPr>
        <w:numPr>
          <w:ilvl w:val="0"/>
          <w:numId w:val="11"/>
        </w:numPr>
        <w:spacing w:line="276" w:lineRule="auto"/>
        <w:ind w:left="710" w:hanging="360"/>
        <w:jc w:val="both"/>
      </w:pPr>
      <w:r>
        <w:rPr>
          <w:b/>
        </w:rPr>
        <w:tab/>
        <w:t xml:space="preserve">Procent de ocupare al terenului maxim: </w:t>
      </w:r>
    </w:p>
    <w:p w:rsidR="00AB04F6" w:rsidRPr="000D6F9A" w:rsidRDefault="00AB04F6" w:rsidP="000D6F9A">
      <w:pPr>
        <w:numPr>
          <w:ilvl w:val="0"/>
          <w:numId w:val="11"/>
        </w:numPr>
        <w:spacing w:line="276" w:lineRule="auto"/>
        <w:ind w:left="710" w:hanging="360"/>
        <w:jc w:val="both"/>
        <w:rPr>
          <w:b/>
        </w:rPr>
      </w:pPr>
      <w:r>
        <w:rPr>
          <w:b/>
        </w:rPr>
        <w:tab/>
      </w:r>
      <w:r w:rsidRPr="000D6F9A">
        <w:rPr>
          <w:b/>
        </w:rPr>
        <w:t>POTmax parter comercial=50%, POTmax locuinte colective=35%;</w:t>
      </w:r>
    </w:p>
    <w:p w:rsidR="00AB04F6" w:rsidRDefault="00AB04F6" w:rsidP="00AB04F6">
      <w:pPr>
        <w:numPr>
          <w:ilvl w:val="0"/>
          <w:numId w:val="12"/>
        </w:numPr>
        <w:spacing w:line="276" w:lineRule="auto"/>
        <w:ind w:left="710" w:hanging="360"/>
        <w:jc w:val="both"/>
        <w:rPr>
          <w:b/>
        </w:rPr>
      </w:pPr>
      <w:r>
        <w:rPr>
          <w:b/>
        </w:rPr>
        <w:t>Coeficient de utilizare al terenului maxim:</w:t>
      </w:r>
      <w:r w:rsidRPr="000D6F9A">
        <w:rPr>
          <w:b/>
        </w:rPr>
        <w:t xml:space="preserve"> CUTmax=2.4;</w:t>
      </w:r>
    </w:p>
    <w:p w:rsidR="00AB04F6" w:rsidRDefault="00AB04F6" w:rsidP="00AB04F6">
      <w:pPr>
        <w:numPr>
          <w:ilvl w:val="0"/>
          <w:numId w:val="12"/>
        </w:numPr>
        <w:spacing w:line="276" w:lineRule="auto"/>
        <w:ind w:left="710" w:hanging="360"/>
        <w:jc w:val="both"/>
        <w:rPr>
          <w:b/>
        </w:rPr>
      </w:pPr>
      <w:r>
        <w:tab/>
      </w:r>
      <w:r>
        <w:rPr>
          <w:b/>
        </w:rPr>
        <w:t xml:space="preserve">Retragere minima fata de </w:t>
      </w:r>
      <w:r w:rsidRPr="000D6F9A">
        <w:rPr>
          <w:b/>
        </w:rPr>
        <w:t>aliniament la Calea Torontalului: conform plan</w:t>
      </w:r>
      <w:r w:rsidR="00970601">
        <w:rPr>
          <w:b/>
        </w:rPr>
        <w:t>s</w:t>
      </w:r>
      <w:r w:rsidRPr="000D6F9A">
        <w:rPr>
          <w:b/>
        </w:rPr>
        <w:t>ei 149-A10 "Reglementări urbanistice"</w:t>
      </w:r>
      <w:r>
        <w:rPr>
          <w:b/>
        </w:rPr>
        <w:t>;</w:t>
      </w:r>
    </w:p>
    <w:p w:rsidR="00AB04F6" w:rsidRDefault="00AB04F6" w:rsidP="00AB04F6">
      <w:pPr>
        <w:numPr>
          <w:ilvl w:val="0"/>
          <w:numId w:val="12"/>
        </w:numPr>
        <w:spacing w:line="276" w:lineRule="auto"/>
        <w:ind w:left="710" w:hanging="360"/>
        <w:jc w:val="both"/>
        <w:rPr>
          <w:b/>
        </w:rPr>
      </w:pPr>
      <w:r>
        <w:rPr>
          <w:b/>
        </w:rPr>
        <w:lastRenderedPageBreak/>
        <w:t xml:space="preserve">Retragere minima fata de </w:t>
      </w:r>
      <w:r w:rsidRPr="000D6F9A">
        <w:rPr>
          <w:b/>
        </w:rPr>
        <w:t xml:space="preserve">aliniament la Strada Bucovinei: minim 6 m </w:t>
      </w:r>
    </w:p>
    <w:p w:rsidR="00AB04F6" w:rsidRDefault="00AB04F6" w:rsidP="00AB04F6">
      <w:pPr>
        <w:numPr>
          <w:ilvl w:val="0"/>
          <w:numId w:val="12"/>
        </w:numPr>
        <w:spacing w:line="276" w:lineRule="auto"/>
        <w:ind w:left="710" w:hanging="360"/>
        <w:jc w:val="both"/>
        <w:rPr>
          <w:b/>
        </w:rPr>
      </w:pPr>
      <w:r>
        <w:rPr>
          <w:b/>
        </w:rPr>
        <w:t>Retragere minimă fa</w:t>
      </w:r>
      <w:r w:rsidR="000D6F9A">
        <w:rPr>
          <w:b/>
        </w:rPr>
        <w:t>t</w:t>
      </w:r>
      <w:r>
        <w:rPr>
          <w:b/>
        </w:rPr>
        <w:t xml:space="preserve">ă de limita laterală nord: </w:t>
      </w:r>
      <w:r w:rsidRPr="000D6F9A">
        <w:rPr>
          <w:b/>
        </w:rPr>
        <w:t>conform plan</w:t>
      </w:r>
      <w:r w:rsidR="000D6F9A" w:rsidRPr="000D6F9A">
        <w:rPr>
          <w:b/>
        </w:rPr>
        <w:t>s</w:t>
      </w:r>
      <w:r w:rsidRPr="000D6F9A">
        <w:rPr>
          <w:b/>
        </w:rPr>
        <w:t>ei 149-A10 "Reglementări urbanistice", minim 4,50m dar nu mai pu</w:t>
      </w:r>
      <w:r w:rsidR="000D6F9A" w:rsidRPr="000D6F9A">
        <w:rPr>
          <w:b/>
        </w:rPr>
        <w:t>t</w:t>
      </w:r>
      <w:r w:rsidRPr="000D6F9A">
        <w:rPr>
          <w:b/>
        </w:rPr>
        <w:t>in de H/2</w:t>
      </w:r>
      <w:r>
        <w:rPr>
          <w:b/>
        </w:rPr>
        <w:t>.</w:t>
      </w:r>
    </w:p>
    <w:p w:rsidR="00AB04F6" w:rsidRPr="000D6F9A" w:rsidRDefault="00AB04F6" w:rsidP="00AB04F6">
      <w:pPr>
        <w:numPr>
          <w:ilvl w:val="0"/>
          <w:numId w:val="12"/>
        </w:numPr>
        <w:spacing w:line="276" w:lineRule="auto"/>
        <w:ind w:left="710" w:hanging="360"/>
        <w:jc w:val="both"/>
        <w:rPr>
          <w:b/>
        </w:rPr>
      </w:pPr>
      <w:r w:rsidRPr="000D6F9A">
        <w:rPr>
          <w:b/>
        </w:rPr>
        <w:t xml:space="preserve">În cazul în care parcelele sunt parţial grevate de o servitute de utilitate publică, POT şi CUT se vor calcula la suprafaţa efectivă rămasă în proprietate privată, iar </w:t>
      </w:r>
      <w:r w:rsidRPr="000D6F9A">
        <w:rPr>
          <w:b/>
          <w:i/>
        </w:rPr>
        <w:t>autorizaţia de construire se va putea emite doar după ce terenurile afectate de drumuri vor deveni domeniu public</w:t>
      </w:r>
      <w:r w:rsidRPr="000D6F9A">
        <w:rPr>
          <w:b/>
        </w:rPr>
        <w:t>;</w:t>
      </w:r>
    </w:p>
    <w:p w:rsidR="00AB04F6" w:rsidRPr="000D6F9A" w:rsidRDefault="00AB04F6" w:rsidP="00AB04F6">
      <w:pPr>
        <w:numPr>
          <w:ilvl w:val="0"/>
          <w:numId w:val="12"/>
        </w:numPr>
        <w:spacing w:line="276" w:lineRule="auto"/>
        <w:ind w:left="710" w:hanging="360"/>
        <w:jc w:val="both"/>
        <w:rPr>
          <w:b/>
        </w:rPr>
      </w:pPr>
      <w:r>
        <w:rPr>
          <w:b/>
        </w:rPr>
        <w:tab/>
        <w:t>Spaţii verzi: minim 20% din suprafaţa terenului conform adresei nr.</w:t>
      </w:r>
      <w:r w:rsidRPr="000D6F9A">
        <w:rPr>
          <w:b/>
        </w:rPr>
        <w:t xml:space="preserve">42/26.05.2017 </w:t>
      </w:r>
      <w:r>
        <w:rPr>
          <w:b/>
        </w:rPr>
        <w:t>a Agenţiei pentru Protecţia Mediului Timiş, care ramane valabila pe perioada punerii in aplicare a planului, in conditiile in care nu intervin modificari ale datelor care au stat la baza emiterii acesteia (conform adresei APM Timis nr.</w:t>
      </w:r>
      <w:r w:rsidRPr="000D6F9A">
        <w:rPr>
          <w:b/>
        </w:rPr>
        <w:t xml:space="preserve">42/26.05.2017 </w:t>
      </w:r>
      <w:r>
        <w:rPr>
          <w:b/>
        </w:rPr>
        <w:t>);</w:t>
      </w:r>
    </w:p>
    <w:p w:rsidR="00AB04F6" w:rsidRDefault="00AB04F6" w:rsidP="00AB04F6">
      <w:pPr>
        <w:jc w:val="both"/>
        <w:rPr>
          <w:color w:val="000000"/>
        </w:rPr>
      </w:pPr>
      <w:r>
        <w:rPr>
          <w:color w:val="FF0000"/>
        </w:rPr>
        <w:tab/>
      </w:r>
    </w:p>
    <w:p w:rsidR="00AB04F6" w:rsidRDefault="00AB04F6" w:rsidP="00AB04F6">
      <w:pPr>
        <w:spacing w:line="276" w:lineRule="auto"/>
        <w:ind w:firstLine="720"/>
        <w:jc w:val="both"/>
        <w:rPr>
          <w:b/>
        </w:rPr>
      </w:pPr>
      <w:r>
        <w:rPr>
          <w:b/>
        </w:rPr>
        <w:t>La eliberarea Autorizaţiei de Construire se vor respecta toate condiţiile impuse prin avizele eliberate de deţinătorii de reţele şi utilităţi publice precum şi ale altor instituţii avizatoare, care se vor realiza pe cheltuiala beneficiarilor.</w:t>
      </w:r>
    </w:p>
    <w:p w:rsidR="00AB04F6" w:rsidRDefault="00AB04F6" w:rsidP="00AB04F6">
      <w:pPr>
        <w:ind w:firstLine="720"/>
        <w:jc w:val="both"/>
      </w:pPr>
      <w:r>
        <w:t xml:space="preserve">Documentaţia de urbanism </w:t>
      </w:r>
      <w:proofErr w:type="gramStart"/>
      <w:r>
        <w:t>este</w:t>
      </w:r>
      <w:proofErr w:type="gramEnd"/>
      <w:r>
        <w:t xml:space="preserve"> însoţită de avizele şi acordurile conform Ghidului privind metodologia de elaborare şi conţinutul cadru al P.U.Z. aprobat prin Ordinul nr. 176/N/2000 al M.L.P.A.T. </w:t>
      </w:r>
      <w:proofErr w:type="gramStart"/>
      <w:r>
        <w:t>( M.T.C.T</w:t>
      </w:r>
      <w:proofErr w:type="gramEnd"/>
      <w:r>
        <w:t>.).</w:t>
      </w:r>
    </w:p>
    <w:p w:rsidR="00AB04F6" w:rsidRDefault="00AB04F6" w:rsidP="00AB04F6">
      <w:pPr>
        <w:ind w:firstLine="720"/>
        <w:jc w:val="both"/>
      </w:pPr>
      <w:r>
        <w:t xml:space="preserve">Semnarea documentaţiei de amenajare a teritoriului sau de urbanism atrage responsabilitatea fiecărei persoane din colectivul de specialişti care </w:t>
      </w:r>
      <w:proofErr w:type="gramStart"/>
      <w:r>
        <w:t>a</w:t>
      </w:r>
      <w:proofErr w:type="gramEnd"/>
      <w:r>
        <w:t xml:space="preserve"> elaborat documentaţia, pentru veridicitatea şi corectitudinea din punct de vedere tehnic a acesteia, în conformitate cu art. </w:t>
      </w:r>
      <w:proofErr w:type="gramStart"/>
      <w:r>
        <w:t>38, alin.</w:t>
      </w:r>
      <w:proofErr w:type="gramEnd"/>
      <w:r>
        <w:t xml:space="preserve"> </w:t>
      </w:r>
      <w:proofErr w:type="gramStart"/>
      <w:r>
        <w:t>1^1) din Legea nr.</w:t>
      </w:r>
      <w:proofErr w:type="gramEnd"/>
      <w:r>
        <w:t xml:space="preserve"> </w:t>
      </w:r>
      <w:proofErr w:type="gramStart"/>
      <w:r>
        <w:t>350/2001 privind amenajarea teritoriului şi urbanismul, cu modificările şi completările ulterioare.</w:t>
      </w:r>
      <w:proofErr w:type="gramEnd"/>
    </w:p>
    <w:p w:rsidR="00AB04F6" w:rsidRDefault="00AB04F6" w:rsidP="00AB04F6">
      <w:pPr>
        <w:ind w:firstLine="720"/>
        <w:jc w:val="both"/>
      </w:pPr>
      <w:r>
        <w:t xml:space="preserve">După aprobarea prin hotărârea consiliului local a documentatiei PUZ si RLU aferent, aceasta </w:t>
      </w:r>
      <w:proofErr w:type="gramStart"/>
      <w:r>
        <w:t>va</w:t>
      </w:r>
      <w:proofErr w:type="gramEnd"/>
      <w:r>
        <w:t xml:space="preserve"> fi transmisa către oficiul de cadastru şi publicitate imobiliară, în vederea actualizării din oficiu a destinaţiei imobilelor înregistrate în sistemul integrat de cadastru şi carte funciară.</w:t>
      </w:r>
    </w:p>
    <w:p w:rsidR="00AB04F6" w:rsidRDefault="00AB04F6" w:rsidP="00AB04F6">
      <w:pPr>
        <w:ind w:firstLine="720"/>
        <w:jc w:val="both"/>
        <w:rPr>
          <w:color w:val="000000"/>
        </w:rPr>
      </w:pPr>
      <w:r>
        <w:t xml:space="preserve">Planul Urbanistic </w:t>
      </w:r>
      <w:proofErr w:type="gramStart"/>
      <w:r>
        <w:t xml:space="preserve">Zonal </w:t>
      </w:r>
      <w:r w:rsidRPr="00614297">
        <w:rPr>
          <w:b/>
        </w:rPr>
        <w:t>”</w:t>
      </w:r>
      <w:proofErr w:type="gramEnd"/>
      <w:r w:rsidRPr="00614297">
        <w:rPr>
          <w:b/>
        </w:rPr>
        <w:t>Dezvoltare zonă mixtă: locuin</w:t>
      </w:r>
      <w:r w:rsidR="00AC2DAA" w:rsidRPr="00614297">
        <w:rPr>
          <w:b/>
        </w:rPr>
        <w:t>t</w:t>
      </w:r>
      <w:r w:rsidRPr="00614297">
        <w:rPr>
          <w:b/>
        </w:rPr>
        <w:t xml:space="preserve">e colective </w:t>
      </w:r>
      <w:r w:rsidR="00AC2DAA" w:rsidRPr="00614297">
        <w:rPr>
          <w:b/>
        </w:rPr>
        <w:t>s</w:t>
      </w:r>
      <w:r w:rsidRPr="00614297">
        <w:rPr>
          <w:b/>
        </w:rPr>
        <w:t xml:space="preserve">i servicii” str. Bucovinei, nr. 73, Timişoara, </w:t>
      </w:r>
      <w:r>
        <w:t>se va integra în Planul Urbanistic General al Municipiului Timişoara şi va avea valabilitate de 3 ani, perioadă în care pot fi demarate investiţiile prevăzute în documentaţie</w:t>
      </w:r>
      <w:r>
        <w:rPr>
          <w:color w:val="000000"/>
        </w:rPr>
        <w:t>.</w:t>
      </w:r>
    </w:p>
    <w:p w:rsidR="00614297" w:rsidRDefault="00614297" w:rsidP="00AB04F6">
      <w:pPr>
        <w:jc w:val="center"/>
        <w:rPr>
          <w:b/>
          <w:color w:val="000000"/>
        </w:rPr>
      </w:pPr>
    </w:p>
    <w:p w:rsidR="00614297" w:rsidRDefault="00614297" w:rsidP="00AB04F6">
      <w:pPr>
        <w:jc w:val="center"/>
        <w:rPr>
          <w:b/>
          <w:color w:val="000000"/>
        </w:rPr>
      </w:pPr>
    </w:p>
    <w:p w:rsidR="00AB04F6" w:rsidRDefault="00AB04F6" w:rsidP="00AB04F6">
      <w:pPr>
        <w:jc w:val="center"/>
        <w:rPr>
          <w:b/>
          <w:color w:val="000000"/>
        </w:rPr>
      </w:pPr>
      <w:r>
        <w:rPr>
          <w:b/>
          <w:color w:val="000000"/>
        </w:rPr>
        <w:t>PROPUNEM:</w:t>
      </w:r>
    </w:p>
    <w:p w:rsidR="00AB04F6" w:rsidRDefault="00AB04F6" w:rsidP="00AB04F6">
      <w:pPr>
        <w:jc w:val="center"/>
        <w:rPr>
          <w:b/>
          <w:color w:val="FF0000"/>
        </w:rPr>
      </w:pPr>
    </w:p>
    <w:p w:rsidR="00AB04F6" w:rsidRDefault="00AB04F6" w:rsidP="00AB04F6">
      <w:pPr>
        <w:ind w:firstLine="720"/>
        <w:jc w:val="both"/>
        <w:rPr>
          <w:b/>
          <w:color w:val="000000"/>
        </w:rPr>
      </w:pPr>
      <w:proofErr w:type="gramStart"/>
      <w:r>
        <w:rPr>
          <w:b/>
          <w:color w:val="000000"/>
        </w:rPr>
        <w:t>1.</w:t>
      </w:r>
      <w:r>
        <w:t>Analizarea</w:t>
      </w:r>
      <w:proofErr w:type="gramEnd"/>
      <w:r>
        <w:rPr>
          <w:b/>
          <w:color w:val="000000"/>
        </w:rPr>
        <w:t xml:space="preserve"> </w:t>
      </w:r>
      <w:r w:rsidR="00AC2DAA">
        <w:rPr>
          <w:b/>
          <w:color w:val="000000"/>
        </w:rPr>
        <w:t xml:space="preserve">si aprobarea </w:t>
      </w:r>
      <w:r>
        <w:t>Planului Urbanistic Zonal</w:t>
      </w:r>
      <w:r>
        <w:rPr>
          <w:b/>
          <w:color w:val="000000"/>
        </w:rPr>
        <w:t xml:space="preserve"> </w:t>
      </w:r>
      <w:r w:rsidRPr="00AC2DAA">
        <w:rPr>
          <w:b/>
          <w:color w:val="000000"/>
        </w:rPr>
        <w:t>”Dezvoltare zonă mixtă: locuin</w:t>
      </w:r>
      <w:r w:rsidR="00AC2DAA" w:rsidRPr="00AC2DAA">
        <w:rPr>
          <w:b/>
          <w:color w:val="000000"/>
        </w:rPr>
        <w:t>t</w:t>
      </w:r>
      <w:r w:rsidRPr="00AC2DAA">
        <w:rPr>
          <w:b/>
          <w:color w:val="000000"/>
        </w:rPr>
        <w:t xml:space="preserve">e colective </w:t>
      </w:r>
      <w:r w:rsidR="00AC2DAA" w:rsidRPr="00AC2DAA">
        <w:rPr>
          <w:b/>
          <w:color w:val="000000"/>
        </w:rPr>
        <w:t>s</w:t>
      </w:r>
      <w:r w:rsidRPr="00AC2DAA">
        <w:rPr>
          <w:b/>
          <w:color w:val="000000"/>
        </w:rPr>
        <w:t>i servicii” str. Bucovinei, nr. 73, Timişoara</w:t>
      </w:r>
      <w:r>
        <w:rPr>
          <w:b/>
          <w:color w:val="000000"/>
        </w:rPr>
        <w:t xml:space="preserve"> având ca beneficiari pe </w:t>
      </w:r>
      <w:r w:rsidRPr="00AC2DAA">
        <w:rPr>
          <w:b/>
          <w:color w:val="000000"/>
        </w:rPr>
        <w:t xml:space="preserve">Ghiurcan </w:t>
      </w:r>
      <w:r w:rsidR="00AC2DAA" w:rsidRPr="00AC2DAA">
        <w:rPr>
          <w:b/>
          <w:color w:val="000000"/>
        </w:rPr>
        <w:t>S</w:t>
      </w:r>
      <w:r w:rsidRPr="00AC2DAA">
        <w:rPr>
          <w:b/>
          <w:color w:val="000000"/>
        </w:rPr>
        <w:t xml:space="preserve">tefan Alexandru </w:t>
      </w:r>
      <w:r w:rsidR="00AC2DAA" w:rsidRPr="00AC2DAA">
        <w:rPr>
          <w:b/>
          <w:color w:val="000000"/>
        </w:rPr>
        <w:t>s</w:t>
      </w:r>
      <w:r w:rsidRPr="00AC2DAA">
        <w:rPr>
          <w:b/>
          <w:color w:val="000000"/>
        </w:rPr>
        <w:t>i Ghiurcan Rodica</w:t>
      </w:r>
      <w:r>
        <w:rPr>
          <w:b/>
          <w:color w:val="000000"/>
        </w:rPr>
        <w:t xml:space="preserve">, </w:t>
      </w:r>
      <w:r>
        <w:rPr>
          <w:color w:val="000000"/>
        </w:rPr>
        <w:t>întocmit conform proiectului</w:t>
      </w:r>
      <w:r>
        <w:rPr>
          <w:b/>
          <w:color w:val="000000"/>
        </w:rPr>
        <w:t xml:space="preserve"> </w:t>
      </w:r>
      <w:r w:rsidRPr="00AC2DAA">
        <w:rPr>
          <w:b/>
          <w:color w:val="000000"/>
        </w:rPr>
        <w:t>nr.149/2016</w:t>
      </w:r>
      <w:r>
        <w:rPr>
          <w:b/>
          <w:color w:val="000000"/>
        </w:rPr>
        <w:t xml:space="preserve">, realizat de </w:t>
      </w:r>
      <w:r w:rsidRPr="00AC2DAA">
        <w:rPr>
          <w:b/>
          <w:color w:val="000000"/>
        </w:rPr>
        <w:t>SC ARHITECT TRIMBITAS SRL</w:t>
      </w:r>
      <w:r>
        <w:rPr>
          <w:b/>
          <w:color w:val="000000"/>
        </w:rPr>
        <w:t xml:space="preserve">, </w:t>
      </w:r>
      <w:r>
        <w:rPr>
          <w:color w:val="000000"/>
        </w:rPr>
        <w:t>care face parte integrantă din prezenta hotărâre</w:t>
      </w:r>
      <w:r>
        <w:rPr>
          <w:b/>
          <w:color w:val="000000"/>
        </w:rPr>
        <w:t>;</w:t>
      </w:r>
    </w:p>
    <w:p w:rsidR="00AB04F6" w:rsidRDefault="00AB04F6" w:rsidP="00AB04F6">
      <w:pPr>
        <w:ind w:left="1770"/>
        <w:jc w:val="both"/>
        <w:rPr>
          <w:color w:val="000000"/>
        </w:rPr>
      </w:pPr>
    </w:p>
    <w:p w:rsidR="00614297" w:rsidRDefault="00614297" w:rsidP="00AB04F6">
      <w:pPr>
        <w:ind w:firstLine="720"/>
        <w:jc w:val="both"/>
        <w:rPr>
          <w:b/>
          <w:color w:val="000000"/>
        </w:rPr>
      </w:pPr>
    </w:p>
    <w:p w:rsidR="00614297" w:rsidRDefault="00614297" w:rsidP="00AB04F6">
      <w:pPr>
        <w:ind w:firstLine="720"/>
        <w:jc w:val="both"/>
        <w:rPr>
          <w:b/>
          <w:color w:val="000000"/>
        </w:rPr>
      </w:pPr>
    </w:p>
    <w:p w:rsidR="00AB04F6" w:rsidRDefault="00AB04F6" w:rsidP="00AB04F6">
      <w:pPr>
        <w:ind w:firstLine="720"/>
        <w:jc w:val="both"/>
        <w:rPr>
          <w:color w:val="000000"/>
        </w:rPr>
      </w:pPr>
      <w:r>
        <w:rPr>
          <w:b/>
          <w:color w:val="000000"/>
        </w:rPr>
        <w:lastRenderedPageBreak/>
        <w:t>2.</w:t>
      </w:r>
      <w:r>
        <w:rPr>
          <w:color w:val="000000"/>
        </w:rPr>
        <w:t xml:space="preserve"> </w:t>
      </w:r>
      <w:r>
        <w:rPr>
          <w:b/>
          <w:color w:val="000000"/>
        </w:rPr>
        <w:t>Se stabilesc condiţiile de construire:</w:t>
      </w:r>
    </w:p>
    <w:p w:rsidR="00AB04F6" w:rsidRDefault="00AB04F6" w:rsidP="00AB04F6">
      <w:pPr>
        <w:numPr>
          <w:ilvl w:val="0"/>
          <w:numId w:val="13"/>
        </w:numPr>
        <w:spacing w:line="276" w:lineRule="auto"/>
        <w:ind w:left="710" w:hanging="360"/>
        <w:jc w:val="both"/>
      </w:pPr>
      <w:r>
        <w:rPr>
          <w:b/>
        </w:rPr>
        <w:t xml:space="preserve">Regim de construire: </w:t>
      </w:r>
      <w:r w:rsidRPr="00AC2DAA">
        <w:rPr>
          <w:b/>
        </w:rPr>
        <w:t>de la (1-3S)+P+8E (spre Calea Torontalului) descrescător la  (1-3S)+P+4E (către vest);</w:t>
      </w:r>
      <w:r>
        <w:rPr>
          <w:shd w:val="clear" w:color="auto" w:fill="FFFF00"/>
        </w:rPr>
        <w:t xml:space="preserve"> </w:t>
      </w:r>
    </w:p>
    <w:p w:rsidR="00AB04F6" w:rsidRDefault="00AB04F6" w:rsidP="00AB04F6">
      <w:pPr>
        <w:numPr>
          <w:ilvl w:val="0"/>
          <w:numId w:val="13"/>
        </w:numPr>
        <w:spacing w:line="276" w:lineRule="auto"/>
        <w:ind w:left="710" w:hanging="360"/>
        <w:jc w:val="both"/>
        <w:rPr>
          <w:b/>
        </w:rPr>
      </w:pPr>
      <w:r>
        <w:rPr>
          <w:color w:val="FF0000"/>
        </w:rPr>
        <w:tab/>
      </w:r>
      <w:r>
        <w:rPr>
          <w:b/>
        </w:rPr>
        <w:t xml:space="preserve">Funcţiuni predominante: </w:t>
      </w:r>
      <w:r w:rsidRPr="00AC2DAA">
        <w:rPr>
          <w:b/>
        </w:rPr>
        <w:t xml:space="preserve">zonă mixtă - locuire colectivă </w:t>
      </w:r>
      <w:r w:rsidR="00AC2DAA">
        <w:rPr>
          <w:b/>
        </w:rPr>
        <w:t>S</w:t>
      </w:r>
      <w:r w:rsidRPr="00AC2DAA">
        <w:rPr>
          <w:b/>
        </w:rPr>
        <w:t>i servicii</w:t>
      </w:r>
      <w:r>
        <w:rPr>
          <w:b/>
        </w:rPr>
        <w:t>;</w:t>
      </w:r>
    </w:p>
    <w:p w:rsidR="00AB04F6" w:rsidRDefault="00AB04F6" w:rsidP="00AB04F6">
      <w:pPr>
        <w:numPr>
          <w:ilvl w:val="0"/>
          <w:numId w:val="13"/>
        </w:numPr>
        <w:spacing w:line="276" w:lineRule="auto"/>
        <w:ind w:left="710" w:hanging="360"/>
        <w:jc w:val="both"/>
      </w:pPr>
      <w:r>
        <w:rPr>
          <w:b/>
        </w:rPr>
        <w:tab/>
        <w:t xml:space="preserve">Procent de ocupare al terenului maxim: </w:t>
      </w:r>
    </w:p>
    <w:p w:rsidR="00AB04F6" w:rsidRPr="00AC2DAA" w:rsidRDefault="00AB04F6" w:rsidP="00AC2DAA">
      <w:pPr>
        <w:numPr>
          <w:ilvl w:val="0"/>
          <w:numId w:val="13"/>
        </w:numPr>
        <w:spacing w:line="276" w:lineRule="auto"/>
        <w:ind w:left="710" w:hanging="360"/>
        <w:jc w:val="both"/>
        <w:rPr>
          <w:b/>
        </w:rPr>
      </w:pPr>
      <w:r>
        <w:rPr>
          <w:b/>
        </w:rPr>
        <w:tab/>
      </w:r>
      <w:r w:rsidRPr="00AC2DAA">
        <w:rPr>
          <w:b/>
        </w:rPr>
        <w:t>POTmax parter comercial=50%, POTmax locuinte colective=35%;</w:t>
      </w:r>
    </w:p>
    <w:p w:rsidR="00AB04F6" w:rsidRDefault="00AB04F6" w:rsidP="00AB04F6">
      <w:pPr>
        <w:numPr>
          <w:ilvl w:val="0"/>
          <w:numId w:val="14"/>
        </w:numPr>
        <w:spacing w:line="276" w:lineRule="auto"/>
        <w:ind w:left="710" w:hanging="360"/>
        <w:jc w:val="both"/>
        <w:rPr>
          <w:b/>
        </w:rPr>
      </w:pPr>
      <w:r>
        <w:rPr>
          <w:b/>
        </w:rPr>
        <w:t>Coeficient de utilizare al terenului maxim:</w:t>
      </w:r>
      <w:r>
        <w:t xml:space="preserve"> </w:t>
      </w:r>
      <w:r w:rsidRPr="00AC2DAA">
        <w:rPr>
          <w:b/>
        </w:rPr>
        <w:t>CUTmax=2.4;</w:t>
      </w:r>
    </w:p>
    <w:p w:rsidR="00AB04F6" w:rsidRPr="00AC2DAA" w:rsidRDefault="00AB04F6" w:rsidP="00AB04F6">
      <w:pPr>
        <w:numPr>
          <w:ilvl w:val="0"/>
          <w:numId w:val="14"/>
        </w:numPr>
        <w:spacing w:line="276" w:lineRule="auto"/>
        <w:ind w:left="710" w:hanging="360"/>
        <w:jc w:val="both"/>
        <w:rPr>
          <w:b/>
        </w:rPr>
      </w:pPr>
      <w:r w:rsidRPr="00AC2DAA">
        <w:rPr>
          <w:b/>
        </w:rPr>
        <w:tab/>
        <w:t>Hmax corni</w:t>
      </w:r>
      <w:r w:rsidR="00AC2DAA">
        <w:rPr>
          <w:b/>
        </w:rPr>
        <w:t>s</w:t>
      </w:r>
      <w:r w:rsidRPr="00AC2DAA">
        <w:rPr>
          <w:b/>
        </w:rPr>
        <w:t>ă =35.00 metri la (1-3S)+P+8E (spre est), cu respectarea celorlalte prevederi si OMS 119/2014;</w:t>
      </w:r>
    </w:p>
    <w:p w:rsidR="00AB04F6" w:rsidRDefault="00AB04F6" w:rsidP="00AB04F6">
      <w:pPr>
        <w:numPr>
          <w:ilvl w:val="0"/>
          <w:numId w:val="14"/>
        </w:numPr>
        <w:spacing w:line="276" w:lineRule="auto"/>
        <w:ind w:left="710" w:hanging="360"/>
        <w:jc w:val="both"/>
        <w:rPr>
          <w:b/>
        </w:rPr>
      </w:pPr>
      <w:r>
        <w:tab/>
      </w:r>
      <w:r>
        <w:rPr>
          <w:b/>
        </w:rPr>
        <w:t xml:space="preserve">Retragere minima fata de </w:t>
      </w:r>
      <w:r w:rsidRPr="00AC2DAA">
        <w:rPr>
          <w:b/>
        </w:rPr>
        <w:t>aliniament la Calea Torontalului: conform planșei 149-A10 "Reglementări urbanistice"</w:t>
      </w:r>
      <w:r>
        <w:rPr>
          <w:b/>
        </w:rPr>
        <w:t>;</w:t>
      </w:r>
    </w:p>
    <w:p w:rsidR="00AB04F6" w:rsidRDefault="00AB04F6" w:rsidP="00AB04F6">
      <w:pPr>
        <w:numPr>
          <w:ilvl w:val="0"/>
          <w:numId w:val="14"/>
        </w:numPr>
        <w:spacing w:line="276" w:lineRule="auto"/>
        <w:ind w:left="710" w:hanging="360"/>
        <w:jc w:val="both"/>
        <w:rPr>
          <w:b/>
        </w:rPr>
      </w:pPr>
      <w:r>
        <w:rPr>
          <w:b/>
        </w:rPr>
        <w:t xml:space="preserve">Retragere minima fata de </w:t>
      </w:r>
      <w:r w:rsidRPr="00AC2DAA">
        <w:rPr>
          <w:b/>
        </w:rPr>
        <w:t xml:space="preserve">aliniament la Strada Bucovinei: minim 6 m </w:t>
      </w:r>
    </w:p>
    <w:p w:rsidR="00AB04F6" w:rsidRDefault="00AB04F6" w:rsidP="00AB04F6">
      <w:pPr>
        <w:numPr>
          <w:ilvl w:val="0"/>
          <w:numId w:val="14"/>
        </w:numPr>
        <w:spacing w:line="276" w:lineRule="auto"/>
        <w:ind w:left="710" w:hanging="360"/>
        <w:jc w:val="both"/>
        <w:rPr>
          <w:b/>
        </w:rPr>
      </w:pPr>
      <w:r>
        <w:rPr>
          <w:b/>
        </w:rPr>
        <w:t>Retragere minimă fa</w:t>
      </w:r>
      <w:r w:rsidR="00AC2DAA">
        <w:rPr>
          <w:b/>
        </w:rPr>
        <w:t>t</w:t>
      </w:r>
      <w:r>
        <w:rPr>
          <w:b/>
        </w:rPr>
        <w:t xml:space="preserve">ă de limita laterală nord: </w:t>
      </w:r>
      <w:r w:rsidRPr="00D353DB">
        <w:rPr>
          <w:b/>
        </w:rPr>
        <w:t>conform plan</w:t>
      </w:r>
      <w:r w:rsidR="00AC2DAA" w:rsidRPr="00D353DB">
        <w:rPr>
          <w:b/>
        </w:rPr>
        <w:t>s</w:t>
      </w:r>
      <w:r w:rsidRPr="00D353DB">
        <w:rPr>
          <w:b/>
        </w:rPr>
        <w:t>ei 149-A10 "Reglementări urbanistice", minim 4,50m dar nu mai pu</w:t>
      </w:r>
      <w:r w:rsidR="00D353DB" w:rsidRPr="00D353DB">
        <w:rPr>
          <w:b/>
        </w:rPr>
        <w:t>t</w:t>
      </w:r>
      <w:r w:rsidRPr="00D353DB">
        <w:rPr>
          <w:b/>
        </w:rPr>
        <w:t>in de H/2</w:t>
      </w:r>
      <w:r>
        <w:rPr>
          <w:b/>
        </w:rPr>
        <w:t>.</w:t>
      </w:r>
    </w:p>
    <w:p w:rsidR="00AB04F6" w:rsidRDefault="00AB04F6" w:rsidP="00AB04F6">
      <w:pPr>
        <w:numPr>
          <w:ilvl w:val="0"/>
          <w:numId w:val="14"/>
        </w:numPr>
        <w:spacing w:line="276" w:lineRule="auto"/>
        <w:ind w:left="710" w:hanging="360"/>
        <w:jc w:val="both"/>
        <w:rPr>
          <w:b/>
        </w:rPr>
      </w:pPr>
      <w:r>
        <w:rPr>
          <w:b/>
        </w:rPr>
        <w:tab/>
        <w:t>Retragere minimă fa</w:t>
      </w:r>
      <w:r w:rsidR="00D353DB">
        <w:rPr>
          <w:b/>
        </w:rPr>
        <w:t>t</w:t>
      </w:r>
      <w:r>
        <w:rPr>
          <w:b/>
        </w:rPr>
        <w:t xml:space="preserve">ă de limita laterală vest: </w:t>
      </w:r>
      <w:r w:rsidRPr="00D353DB">
        <w:rPr>
          <w:b/>
        </w:rPr>
        <w:t>conform plan</w:t>
      </w:r>
      <w:r w:rsidR="00D353DB" w:rsidRPr="00D353DB">
        <w:rPr>
          <w:b/>
        </w:rPr>
        <w:t>s</w:t>
      </w:r>
      <w:r w:rsidRPr="00D353DB">
        <w:rPr>
          <w:b/>
        </w:rPr>
        <w:t>ei 149-A10 "Reglementări urbanistice", minim 4,50m dar nu mai pu</w:t>
      </w:r>
      <w:r w:rsidR="00D353DB" w:rsidRPr="00D353DB">
        <w:rPr>
          <w:b/>
        </w:rPr>
        <w:t>t</w:t>
      </w:r>
      <w:r w:rsidRPr="00D353DB">
        <w:rPr>
          <w:b/>
        </w:rPr>
        <w:t>in de H/2</w:t>
      </w:r>
      <w:r>
        <w:rPr>
          <w:b/>
        </w:rPr>
        <w:t xml:space="preserve">. </w:t>
      </w:r>
    </w:p>
    <w:p w:rsidR="00AB04F6" w:rsidRDefault="00AB04F6" w:rsidP="00AB04F6">
      <w:pPr>
        <w:numPr>
          <w:ilvl w:val="0"/>
          <w:numId w:val="14"/>
        </w:numPr>
        <w:spacing w:line="276" w:lineRule="auto"/>
        <w:ind w:left="710" w:hanging="360"/>
        <w:jc w:val="both"/>
        <w:rPr>
          <w:b/>
        </w:rPr>
      </w:pPr>
      <w:r>
        <w:tab/>
      </w:r>
      <w:r>
        <w:rPr>
          <w:b/>
        </w:rPr>
        <w:t xml:space="preserve">În cazul în care parcelele sunt parţial grevate de o servitute de utilitate publică, POT şi CUT se vor calcula la suprafaţa efectivă rămasă în proprietate privată, iar </w:t>
      </w:r>
      <w:r>
        <w:rPr>
          <w:b/>
          <w:i/>
        </w:rPr>
        <w:t>autorizaţia de construire se va putea emite doar după ce terenurile afectate de drumuri vor deveni domeniu public</w:t>
      </w:r>
      <w:r>
        <w:rPr>
          <w:b/>
        </w:rPr>
        <w:t>;</w:t>
      </w:r>
    </w:p>
    <w:p w:rsidR="00AB04F6" w:rsidRDefault="00AB04F6" w:rsidP="00AB04F6">
      <w:pPr>
        <w:numPr>
          <w:ilvl w:val="0"/>
          <w:numId w:val="14"/>
        </w:numPr>
        <w:spacing w:line="276" w:lineRule="auto"/>
        <w:ind w:left="710" w:hanging="360"/>
        <w:jc w:val="both"/>
        <w:rPr>
          <w:color w:val="FF0000"/>
        </w:rPr>
      </w:pPr>
      <w:r>
        <w:rPr>
          <w:b/>
        </w:rPr>
        <w:tab/>
        <w:t>Spaţii verzi: minim 20% din suprafaţa terenului conform adresei nr.</w:t>
      </w:r>
      <w:r w:rsidR="00D353DB">
        <w:rPr>
          <w:b/>
        </w:rPr>
        <w:t xml:space="preserve"> </w:t>
      </w:r>
      <w:r w:rsidRPr="00D353DB">
        <w:rPr>
          <w:b/>
        </w:rPr>
        <w:t xml:space="preserve">42/26.05.2017 </w:t>
      </w:r>
      <w:r>
        <w:rPr>
          <w:b/>
        </w:rPr>
        <w:t>a Agenţiei pentru Protecţia Mediului Timiş, care ramane valabila pe perioada punerii in aplicare a planului, in conditiile in care nu intervin modificari ale datelor care au stat la baza emiterii acesteia (conform adresei APM Timis nr.</w:t>
      </w:r>
      <w:r w:rsidR="00D353DB">
        <w:rPr>
          <w:b/>
        </w:rPr>
        <w:t xml:space="preserve"> </w:t>
      </w:r>
      <w:r w:rsidRPr="00D353DB">
        <w:rPr>
          <w:b/>
        </w:rPr>
        <w:t xml:space="preserve">42/26.05.2017 </w:t>
      </w:r>
      <w:r>
        <w:rPr>
          <w:b/>
        </w:rPr>
        <w:t>);</w:t>
      </w:r>
    </w:p>
    <w:p w:rsidR="00AB04F6" w:rsidRDefault="00AB04F6" w:rsidP="00AB04F6">
      <w:pPr>
        <w:numPr>
          <w:ilvl w:val="0"/>
          <w:numId w:val="14"/>
        </w:numPr>
        <w:ind w:left="710" w:hanging="360"/>
        <w:jc w:val="both"/>
        <w:rPr>
          <w:b/>
        </w:rPr>
      </w:pPr>
      <w:r>
        <w:rPr>
          <w:b/>
        </w:rPr>
        <w:t xml:space="preserve">Circulatii si accese: accesurile auto si pietonale se vor realiza din </w:t>
      </w:r>
      <w:r w:rsidRPr="00D353DB">
        <w:rPr>
          <w:b/>
        </w:rPr>
        <w:t>strada Bucovinei, precum si din Calea Torontalului,</w:t>
      </w:r>
      <w:r>
        <w:rPr>
          <w:b/>
        </w:rPr>
        <w:t xml:space="preserve"> prin intermediul strazilor interioare de legatura propuse, in conformitate cu avizul Comisiei de Circulatie </w:t>
      </w:r>
      <w:r w:rsidRPr="00D353DB">
        <w:rPr>
          <w:b/>
        </w:rPr>
        <w:t>nr.</w:t>
      </w:r>
      <w:r w:rsidR="00D353DB">
        <w:rPr>
          <w:b/>
        </w:rPr>
        <w:t xml:space="preserve"> </w:t>
      </w:r>
      <w:r w:rsidRPr="00D353DB">
        <w:rPr>
          <w:b/>
        </w:rPr>
        <w:t>DT2017-001369/04.05.2017.</w:t>
      </w:r>
    </w:p>
    <w:p w:rsidR="00AB04F6" w:rsidRDefault="00AB04F6" w:rsidP="00AB04F6">
      <w:pPr>
        <w:numPr>
          <w:ilvl w:val="0"/>
          <w:numId w:val="14"/>
        </w:numPr>
        <w:spacing w:line="276" w:lineRule="auto"/>
        <w:ind w:left="710" w:hanging="360"/>
        <w:jc w:val="both"/>
        <w:rPr>
          <w:b/>
        </w:rPr>
      </w:pPr>
      <w:r>
        <w:rPr>
          <w:b/>
        </w:rPr>
        <w:t xml:space="preserve">Echiparea tehnico-edilitara pentru investitia propusa </w:t>
      </w:r>
      <w:proofErr w:type="gramStart"/>
      <w:r>
        <w:rPr>
          <w:b/>
        </w:rPr>
        <w:t>va</w:t>
      </w:r>
      <w:proofErr w:type="gramEnd"/>
      <w:r>
        <w:rPr>
          <w:b/>
        </w:rPr>
        <w:t xml:space="preserve"> asigura toate utilitatile necesare functionarii acesteia, respectandu-se conditiile impuse prin Avizul pentru retele existente </w:t>
      </w:r>
      <w:r w:rsidRPr="00D353DB">
        <w:rPr>
          <w:b/>
        </w:rPr>
        <w:t>nr.</w:t>
      </w:r>
      <w:r w:rsidR="00D353DB" w:rsidRPr="00D353DB">
        <w:rPr>
          <w:b/>
        </w:rPr>
        <w:t xml:space="preserve"> </w:t>
      </w:r>
      <w:r w:rsidRPr="00D353DB">
        <w:rPr>
          <w:b/>
        </w:rPr>
        <w:t>903/20.09.2017</w:t>
      </w:r>
      <w:r w:rsidR="00D353DB">
        <w:rPr>
          <w:b/>
        </w:rPr>
        <w:t>;</w:t>
      </w:r>
    </w:p>
    <w:p w:rsidR="00AB04F6" w:rsidRDefault="00AB04F6" w:rsidP="00AB04F6">
      <w:pPr>
        <w:numPr>
          <w:ilvl w:val="0"/>
          <w:numId w:val="14"/>
        </w:numPr>
        <w:spacing w:line="276" w:lineRule="auto"/>
        <w:ind w:left="710" w:hanging="360"/>
        <w:jc w:val="both"/>
        <w:rPr>
          <w:b/>
        </w:rPr>
      </w:pPr>
      <w:r>
        <w:rPr>
          <w:b/>
        </w:rPr>
        <w:t>Asigurarea tuturor obiectivelor de utilitate publica necesare functionarii investitiilor in conformitate cu Planul de actiune asumat.</w:t>
      </w:r>
    </w:p>
    <w:p w:rsidR="00AB04F6" w:rsidRDefault="00AB04F6" w:rsidP="00AB04F6">
      <w:pPr>
        <w:jc w:val="both"/>
        <w:rPr>
          <w:color w:val="FF3333"/>
        </w:rPr>
      </w:pPr>
      <w:r>
        <w:rPr>
          <w:color w:val="FF3333"/>
        </w:rPr>
        <w:tab/>
      </w:r>
    </w:p>
    <w:p w:rsidR="00AB04F6" w:rsidRDefault="00AB04F6" w:rsidP="00AB04F6">
      <w:pPr>
        <w:ind w:firstLine="720"/>
        <w:jc w:val="both"/>
        <w:rPr>
          <w:b/>
          <w:color w:val="000000"/>
        </w:rPr>
      </w:pPr>
      <w:r>
        <w:rPr>
          <w:b/>
          <w:color w:val="000000"/>
        </w:rPr>
        <w:t>3</w:t>
      </w:r>
      <w:r>
        <w:rPr>
          <w:color w:val="000000"/>
        </w:rPr>
        <w:t xml:space="preserve">. </w:t>
      </w:r>
      <w:r>
        <w:rPr>
          <w:b/>
          <w:color w:val="000000"/>
        </w:rPr>
        <w:t xml:space="preserve">Prezentul Plan Urbanistic </w:t>
      </w:r>
      <w:proofErr w:type="gramStart"/>
      <w:r>
        <w:rPr>
          <w:b/>
          <w:color w:val="000000"/>
        </w:rPr>
        <w:t xml:space="preserve">Zonal </w:t>
      </w:r>
      <w:r w:rsidRPr="00D353DB">
        <w:rPr>
          <w:b/>
          <w:color w:val="000000"/>
        </w:rPr>
        <w:t>”</w:t>
      </w:r>
      <w:proofErr w:type="gramEnd"/>
      <w:r w:rsidRPr="00D353DB">
        <w:rPr>
          <w:b/>
          <w:color w:val="000000"/>
        </w:rPr>
        <w:t>Dezvoltare zonă mixtă: locuin</w:t>
      </w:r>
      <w:r w:rsidR="00D353DB" w:rsidRPr="00D353DB">
        <w:rPr>
          <w:b/>
          <w:color w:val="000000"/>
        </w:rPr>
        <w:t>t</w:t>
      </w:r>
      <w:r w:rsidRPr="00D353DB">
        <w:rPr>
          <w:b/>
          <w:color w:val="000000"/>
        </w:rPr>
        <w:t xml:space="preserve">e colective </w:t>
      </w:r>
      <w:r w:rsidR="00D353DB" w:rsidRPr="00D353DB">
        <w:rPr>
          <w:b/>
          <w:color w:val="000000"/>
        </w:rPr>
        <w:t>s</w:t>
      </w:r>
      <w:r w:rsidRPr="00D353DB">
        <w:rPr>
          <w:b/>
          <w:color w:val="000000"/>
        </w:rPr>
        <w:t>i servicii” str. Bucovinei, nr. 73, Timişoara, s</w:t>
      </w:r>
      <w:r>
        <w:rPr>
          <w:b/>
        </w:rPr>
        <w:t>e va integra în Planul Urbanistic General al Municipiului Timişoara şi va avea valabilitate de 3 ani, perioadă în care pot fi demarate investiţiile prevăzute în documentaţie.</w:t>
      </w:r>
    </w:p>
    <w:p w:rsidR="00AB04F6" w:rsidRPr="00D353DB" w:rsidRDefault="00AB04F6" w:rsidP="00AB04F6">
      <w:pPr>
        <w:ind w:firstLine="720"/>
        <w:jc w:val="both"/>
        <w:rPr>
          <w:i/>
        </w:rPr>
      </w:pPr>
      <w:r w:rsidRPr="00D353DB">
        <w:rPr>
          <w:b/>
        </w:rPr>
        <w:lastRenderedPageBreak/>
        <w:t xml:space="preserve">Terenul reglementat în suprafaţă de 4131 mp </w:t>
      </w:r>
      <w:proofErr w:type="gramStart"/>
      <w:r w:rsidRPr="00D353DB">
        <w:rPr>
          <w:b/>
        </w:rPr>
        <w:t>este</w:t>
      </w:r>
      <w:proofErr w:type="gramEnd"/>
      <w:r w:rsidRPr="00D353DB">
        <w:rPr>
          <w:b/>
        </w:rPr>
        <w:t xml:space="preserve"> înscris în CF nr. </w:t>
      </w:r>
      <w:proofErr w:type="gramStart"/>
      <w:r w:rsidRPr="00D353DB">
        <w:rPr>
          <w:b/>
        </w:rPr>
        <w:t>415170, Nr.top.</w:t>
      </w:r>
      <w:proofErr w:type="gramEnd"/>
      <w:r w:rsidRPr="00D353DB">
        <w:rPr>
          <w:b/>
        </w:rPr>
        <w:t xml:space="preserve"> </w:t>
      </w:r>
      <w:proofErr w:type="gramStart"/>
      <w:r w:rsidRPr="00D353DB">
        <w:rPr>
          <w:b/>
        </w:rPr>
        <w:t xml:space="preserve">A541/3/35/a/1/a/1/a/1, având ca proprietari pe </w:t>
      </w:r>
      <w:r w:rsidRPr="00D353DB">
        <w:rPr>
          <w:b/>
          <w:i/>
        </w:rPr>
        <w:t xml:space="preserve">Ghiurcan </w:t>
      </w:r>
      <w:r w:rsidR="00D353DB" w:rsidRPr="00D353DB">
        <w:rPr>
          <w:b/>
          <w:i/>
        </w:rPr>
        <w:t>S</w:t>
      </w:r>
      <w:r w:rsidRPr="00D353DB">
        <w:rPr>
          <w:b/>
          <w:i/>
        </w:rPr>
        <w:t xml:space="preserve">tefan Alexandru </w:t>
      </w:r>
      <w:r w:rsidR="00D353DB" w:rsidRPr="00D353DB">
        <w:rPr>
          <w:b/>
          <w:i/>
        </w:rPr>
        <w:t>s</w:t>
      </w:r>
      <w:r w:rsidRPr="00D353DB">
        <w:rPr>
          <w:b/>
          <w:i/>
        </w:rPr>
        <w:t>i so</w:t>
      </w:r>
      <w:r w:rsidR="00D353DB" w:rsidRPr="00D353DB">
        <w:rPr>
          <w:b/>
          <w:i/>
        </w:rPr>
        <w:t>t</w:t>
      </w:r>
      <w:r w:rsidRPr="00D353DB">
        <w:rPr>
          <w:b/>
          <w:i/>
        </w:rPr>
        <w:t>ia Ghiurcan Rodica</w:t>
      </w:r>
      <w:r w:rsidRPr="00D353DB">
        <w:rPr>
          <w:b/>
          <w:i/>
          <w:shd w:val="clear" w:color="auto" w:fill="FFFF00"/>
        </w:rPr>
        <w:t>.</w:t>
      </w:r>
      <w:proofErr w:type="gramEnd"/>
    </w:p>
    <w:p w:rsidR="00AB04F6" w:rsidRDefault="00AB04F6" w:rsidP="00AB04F6">
      <w:pPr>
        <w:ind w:firstLine="720"/>
        <w:jc w:val="both"/>
        <w:rPr>
          <w:b/>
          <w:color w:val="000000"/>
        </w:rPr>
      </w:pPr>
    </w:p>
    <w:p w:rsidR="00AB04F6" w:rsidRDefault="00AB04F6" w:rsidP="00AB04F6">
      <w:pPr>
        <w:spacing w:line="276" w:lineRule="auto"/>
        <w:ind w:firstLine="720"/>
        <w:jc w:val="both"/>
      </w:pPr>
      <w:r>
        <w:rPr>
          <w:b/>
        </w:rPr>
        <w:t>4.</w:t>
      </w:r>
      <w:r>
        <w:t xml:space="preserve"> Autorizaţiile de construire se vor emite doar după realizarea în prealabil </w:t>
      </w:r>
      <w:proofErr w:type="gramStart"/>
      <w:r>
        <w:t>a</w:t>
      </w:r>
      <w:proofErr w:type="gramEnd"/>
      <w:r>
        <w:t xml:space="preserve"> operaţiunilor reglementate prin documentaţia de urbanism cu privire la obligativitatea asigurării acceselor din domeniul public conform </w:t>
      </w:r>
      <w:r w:rsidRPr="00D353DB">
        <w:t xml:space="preserve">Proiectului nr. </w:t>
      </w:r>
      <w:proofErr w:type="gramStart"/>
      <w:r w:rsidRPr="00D353DB">
        <w:t>149/2016, planşa nr.</w:t>
      </w:r>
      <w:proofErr w:type="gramEnd"/>
      <w:r w:rsidRPr="00D353DB">
        <w:t xml:space="preserve"> 149A11 - ,</w:t>
      </w:r>
      <w:proofErr w:type="gramStart"/>
      <w:r w:rsidRPr="00D353DB">
        <w:t>,Circula</w:t>
      </w:r>
      <w:r w:rsidR="00D353DB" w:rsidRPr="00D353DB">
        <w:t>t</w:t>
      </w:r>
      <w:r w:rsidRPr="00D353DB">
        <w:t>ia</w:t>
      </w:r>
      <w:proofErr w:type="gramEnd"/>
      <w:r w:rsidRPr="00D353DB">
        <w:t xml:space="preserve"> terenurilor”</w:t>
      </w:r>
      <w:r>
        <w:t xml:space="preserve"> şi asigurarea tuturor utilităţilor necesare investiţiei în conformitate cu Planul de acţiune asumat.</w:t>
      </w:r>
    </w:p>
    <w:p w:rsidR="00AB04F6" w:rsidRDefault="00AB04F6" w:rsidP="00AB04F6">
      <w:pPr>
        <w:spacing w:line="276" w:lineRule="auto"/>
        <w:ind w:firstLine="720"/>
        <w:jc w:val="both"/>
      </w:pPr>
    </w:p>
    <w:p w:rsidR="00AB04F6" w:rsidRDefault="00AB04F6" w:rsidP="00AB04F6">
      <w:pPr>
        <w:spacing w:line="276" w:lineRule="auto"/>
        <w:ind w:firstLine="720"/>
        <w:jc w:val="both"/>
      </w:pPr>
      <w:r>
        <w:rPr>
          <w:b/>
        </w:rPr>
        <w:t>5</w:t>
      </w:r>
      <w: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t>29, alin.</w:t>
      </w:r>
      <w:proofErr w:type="gramEnd"/>
      <w:r>
        <w:t xml:space="preserve"> </w:t>
      </w:r>
      <w:proofErr w:type="gramStart"/>
      <w:r>
        <w:t>2^1) din Legea nr.</w:t>
      </w:r>
      <w:proofErr w:type="gramEnd"/>
      <w:r>
        <w:t xml:space="preserve"> </w:t>
      </w:r>
      <w:proofErr w:type="gramStart"/>
      <w:r>
        <w:t>350/2001 privind amenajarea teritoriului şi urbanismul, cu modificările şi completările ulterioare.</w:t>
      </w:r>
      <w:proofErr w:type="gramEnd"/>
    </w:p>
    <w:p w:rsidR="00AB04F6" w:rsidRDefault="00AB04F6" w:rsidP="00AB04F6">
      <w:pPr>
        <w:spacing w:line="276" w:lineRule="auto"/>
        <w:ind w:firstLine="720"/>
        <w:jc w:val="both"/>
      </w:pPr>
    </w:p>
    <w:p w:rsidR="00AB04F6" w:rsidRDefault="00AB04F6" w:rsidP="00AB04F6">
      <w:pPr>
        <w:spacing w:line="276" w:lineRule="auto"/>
        <w:ind w:firstLine="720"/>
        <w:jc w:val="both"/>
      </w:pPr>
      <w:r>
        <w:rPr>
          <w:b/>
        </w:rPr>
        <w:t>6.</w:t>
      </w:r>
      <w:r>
        <w:t xml:space="preserve"> Reglementările privind autorizarea construcţiilor şi a amenajărilor vor fi aplicate în concordanţă cu prevederile prezentului Plan Urbanistic </w:t>
      </w:r>
      <w:proofErr w:type="gramStart"/>
      <w:r>
        <w:t xml:space="preserve">Zonal </w:t>
      </w:r>
      <w:r w:rsidRPr="000C0ECF">
        <w:rPr>
          <w:b/>
        </w:rPr>
        <w:t>”</w:t>
      </w:r>
      <w:proofErr w:type="gramEnd"/>
      <w:r w:rsidRPr="000C0ECF">
        <w:rPr>
          <w:b/>
        </w:rPr>
        <w:t>Dezvoltare zonă mixtă: locuin</w:t>
      </w:r>
      <w:r w:rsidR="000C0ECF" w:rsidRPr="000C0ECF">
        <w:rPr>
          <w:b/>
        </w:rPr>
        <w:t>t</w:t>
      </w:r>
      <w:r w:rsidRPr="000C0ECF">
        <w:rPr>
          <w:b/>
        </w:rPr>
        <w:t xml:space="preserve">e colective </w:t>
      </w:r>
      <w:r w:rsidR="000C0ECF" w:rsidRPr="000C0ECF">
        <w:rPr>
          <w:b/>
        </w:rPr>
        <w:t>s</w:t>
      </w:r>
      <w:r w:rsidRPr="000C0ECF">
        <w:rPr>
          <w:b/>
        </w:rPr>
        <w:t xml:space="preserve">i servicii”, str. Bucovinei, nr. </w:t>
      </w:r>
      <w:proofErr w:type="gramStart"/>
      <w:r w:rsidRPr="000C0ECF">
        <w:rPr>
          <w:b/>
        </w:rPr>
        <w:t xml:space="preserve">73, intravilan Timişoara </w:t>
      </w:r>
      <w:r w:rsidR="000C0ECF" w:rsidRPr="000C0ECF">
        <w:rPr>
          <w:b/>
        </w:rPr>
        <w:t>s</w:t>
      </w:r>
      <w:r w:rsidRPr="000C0ECF">
        <w:rPr>
          <w:b/>
        </w:rPr>
        <w:t xml:space="preserve">i </w:t>
      </w:r>
      <w:r>
        <w:t>a Regulamentului Local de Urbanism aferent.</w:t>
      </w:r>
      <w:proofErr w:type="gramEnd"/>
    </w:p>
    <w:p w:rsidR="00AB04F6" w:rsidRDefault="00AB04F6" w:rsidP="00AB04F6">
      <w:pPr>
        <w:spacing w:line="276" w:lineRule="auto"/>
        <w:ind w:firstLine="720"/>
        <w:jc w:val="both"/>
      </w:pPr>
    </w:p>
    <w:p w:rsidR="00AB04F6" w:rsidRDefault="00AB04F6" w:rsidP="00AB04F6">
      <w:pPr>
        <w:spacing w:line="276" w:lineRule="auto"/>
        <w:ind w:firstLine="720"/>
        <w:jc w:val="both"/>
      </w:pPr>
      <w:r>
        <w:t xml:space="preserve">Având în vedere prevederile legale expuse în prezentul raport, apreciem că proiectul de hotărâre privind aprobarea Planului Urbanistic </w:t>
      </w:r>
      <w:proofErr w:type="gramStart"/>
      <w:r>
        <w:t xml:space="preserve">Zonal </w:t>
      </w:r>
      <w:r w:rsidRPr="000C0ECF">
        <w:rPr>
          <w:b/>
        </w:rPr>
        <w:t>”</w:t>
      </w:r>
      <w:proofErr w:type="gramEnd"/>
      <w:r w:rsidRPr="000C0ECF">
        <w:rPr>
          <w:b/>
        </w:rPr>
        <w:t>Dezvoltare zonă mixtă: locuin</w:t>
      </w:r>
      <w:r w:rsidR="000C0ECF" w:rsidRPr="000C0ECF">
        <w:rPr>
          <w:b/>
        </w:rPr>
        <w:t>t</w:t>
      </w:r>
      <w:r w:rsidRPr="000C0ECF">
        <w:rPr>
          <w:b/>
        </w:rPr>
        <w:t xml:space="preserve">e colective </w:t>
      </w:r>
      <w:r w:rsidR="000C0ECF" w:rsidRPr="000C0ECF">
        <w:rPr>
          <w:b/>
        </w:rPr>
        <w:t>s</w:t>
      </w:r>
      <w:r w:rsidRPr="000C0ECF">
        <w:rPr>
          <w:b/>
        </w:rPr>
        <w:t xml:space="preserve">i servicii”, str. Bucovinei, nr. </w:t>
      </w:r>
      <w:proofErr w:type="gramStart"/>
      <w:r w:rsidRPr="000C0ECF">
        <w:rPr>
          <w:b/>
        </w:rPr>
        <w:t>73, intravilan Timişoara</w:t>
      </w:r>
      <w:r>
        <w:t xml:space="preserve"> îndeplineşte condiţiile pentru a fi supus dezbaterii plenului consiliului local.</w:t>
      </w:r>
      <w:proofErr w:type="gramEnd"/>
    </w:p>
    <w:p w:rsidR="00AB04F6" w:rsidRDefault="00AB04F6" w:rsidP="00AB04F6">
      <w:pPr>
        <w:spacing w:line="276" w:lineRule="auto"/>
        <w:ind w:firstLine="720"/>
        <w:jc w:val="both"/>
      </w:pPr>
    </w:p>
    <w:p w:rsidR="00AB04F6" w:rsidRDefault="00AB04F6" w:rsidP="00AB04F6">
      <w:pPr>
        <w:spacing w:line="276" w:lineRule="auto"/>
        <w:ind w:firstLine="720"/>
        <w:jc w:val="center"/>
      </w:pPr>
      <w:r>
        <w:t>ARHITECT SEF</w:t>
      </w:r>
    </w:p>
    <w:p w:rsidR="00AB04F6" w:rsidRDefault="00AB04F6" w:rsidP="00AB04F6">
      <w:pPr>
        <w:spacing w:line="276" w:lineRule="auto"/>
        <w:ind w:firstLine="720"/>
        <w:jc w:val="center"/>
      </w:pPr>
      <w:r>
        <w:t>Emilian Sorin CIURARIU</w:t>
      </w:r>
    </w:p>
    <w:p w:rsidR="00AB04F6" w:rsidRDefault="00AB04F6" w:rsidP="00AB04F6">
      <w:pPr>
        <w:spacing w:line="276" w:lineRule="auto"/>
        <w:ind w:firstLine="720"/>
        <w:jc w:val="center"/>
      </w:pPr>
    </w:p>
    <w:p w:rsidR="00AB04F6" w:rsidRDefault="00AB04F6" w:rsidP="00AB04F6">
      <w:pPr>
        <w:spacing w:line="276" w:lineRule="auto"/>
        <w:ind w:firstLine="720"/>
        <w:jc w:val="center"/>
      </w:pPr>
    </w:p>
    <w:p w:rsidR="00AB04F6" w:rsidRDefault="00AB04F6" w:rsidP="00AB04F6">
      <w:pPr>
        <w:spacing w:line="276" w:lineRule="auto"/>
        <w:ind w:firstLine="720"/>
        <w:jc w:val="center"/>
      </w:pPr>
      <w:r>
        <w:t>CONSILIER</w:t>
      </w:r>
    </w:p>
    <w:p w:rsidR="00AB04F6" w:rsidRDefault="00AB04F6" w:rsidP="00AB04F6">
      <w:pPr>
        <w:spacing w:line="276" w:lineRule="auto"/>
        <w:ind w:firstLine="720"/>
        <w:jc w:val="center"/>
      </w:pPr>
      <w:r>
        <w:t>Steluta URSU</w:t>
      </w:r>
    </w:p>
    <w:p w:rsidR="00AB04F6" w:rsidRDefault="00AB04F6" w:rsidP="00AB04F6">
      <w:pPr>
        <w:spacing w:line="276" w:lineRule="auto"/>
        <w:ind w:firstLine="720"/>
        <w:jc w:val="both"/>
      </w:pPr>
    </w:p>
    <w:p w:rsidR="00AB04F6" w:rsidRDefault="00AB04F6" w:rsidP="00AB04F6">
      <w:pPr>
        <w:spacing w:line="276" w:lineRule="auto"/>
        <w:ind w:firstLine="720"/>
        <w:jc w:val="both"/>
      </w:pPr>
    </w:p>
    <w:p w:rsidR="00AB04F6" w:rsidRDefault="00AB04F6" w:rsidP="00AB04F6">
      <w:pPr>
        <w:spacing w:line="276" w:lineRule="auto"/>
        <w:ind w:firstLine="720"/>
        <w:jc w:val="both"/>
        <w:rPr>
          <w:sz w:val="16"/>
        </w:rPr>
      </w:pPr>
      <w:r>
        <w:rPr>
          <w:sz w:val="16"/>
        </w:rPr>
        <w:t>Red/dact – S.U.</w:t>
      </w:r>
    </w:p>
    <w:p w:rsidR="0002782E" w:rsidRPr="00AB04F6" w:rsidRDefault="0002782E" w:rsidP="00AB04F6"/>
    <w:sectPr w:rsidR="0002782E" w:rsidRPr="00AB04F6"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01" w:rsidRDefault="00970601">
      <w:r>
        <w:separator/>
      </w:r>
    </w:p>
  </w:endnote>
  <w:endnote w:type="continuationSeparator" w:id="0">
    <w:p w:rsidR="00970601" w:rsidRDefault="00970601">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1" w:rsidRDefault="00B038CA">
    <w:pPr>
      <w:ind w:firstLine="709"/>
      <w:jc w:val="right"/>
    </w:pPr>
    <w:r w:rsidRPr="00B038CA">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970601" w:rsidRDefault="00B038CA">
                <w:pPr>
                  <w:pStyle w:val="Footer"/>
                </w:pPr>
                <w:r>
                  <w:rPr>
                    <w:rStyle w:val="PageNumber"/>
                    <w:sz w:val="20"/>
                    <w:szCs w:val="20"/>
                  </w:rPr>
                  <w:fldChar w:fldCharType="begin"/>
                </w:r>
                <w:r w:rsidR="00970601">
                  <w:rPr>
                    <w:rStyle w:val="PageNumber"/>
                    <w:sz w:val="20"/>
                    <w:szCs w:val="20"/>
                  </w:rPr>
                  <w:instrText xml:space="preserve"> PAGE </w:instrText>
                </w:r>
                <w:r>
                  <w:rPr>
                    <w:rStyle w:val="PageNumber"/>
                    <w:sz w:val="20"/>
                    <w:szCs w:val="20"/>
                  </w:rPr>
                  <w:fldChar w:fldCharType="separate"/>
                </w:r>
                <w:r w:rsidR="003B7A99">
                  <w:rPr>
                    <w:rStyle w:val="PageNumber"/>
                    <w:noProof/>
                    <w:sz w:val="20"/>
                    <w:szCs w:val="20"/>
                  </w:rPr>
                  <w:t>1</w:t>
                </w:r>
                <w:r>
                  <w:rPr>
                    <w:rStyle w:val="PageNumber"/>
                    <w:sz w:val="20"/>
                    <w:szCs w:val="20"/>
                  </w:rPr>
                  <w:fldChar w:fldCharType="end"/>
                </w:r>
              </w:p>
            </w:txbxContent>
          </v:textbox>
          <w10:wrap type="square" side="largest" anchorx="margin"/>
        </v:shape>
      </w:pict>
    </w:r>
    <w:r w:rsidR="00970601">
      <w:rPr>
        <w:sz w:val="20"/>
        <w:szCs w:val="20"/>
        <w:lang w:val="ro-RO"/>
      </w:rPr>
      <w:t>Cod FP 53-01, ver. 2</w:t>
    </w:r>
  </w:p>
  <w:p w:rsidR="00970601" w:rsidRDefault="00970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01" w:rsidRDefault="00970601">
      <w:r>
        <w:separator/>
      </w:r>
    </w:p>
  </w:footnote>
  <w:footnote w:type="continuationSeparator" w:id="0">
    <w:p w:rsidR="00970601" w:rsidRDefault="00970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970601" w:rsidRPr="00A71BFF">
      <w:trPr>
        <w:trHeight w:val="964"/>
      </w:trPr>
      <w:tc>
        <w:tcPr>
          <w:tcW w:w="1755" w:type="dxa"/>
          <w:shd w:val="clear" w:color="auto" w:fill="auto"/>
        </w:tcPr>
        <w:p w:rsidR="00970601" w:rsidRPr="00A71BFF" w:rsidRDefault="00B038CA">
          <w:pPr>
            <w:snapToGrid w:val="0"/>
            <w:ind w:right="451"/>
            <w:jc w:val="right"/>
            <w:rPr>
              <w:rFonts w:ascii="Calibri" w:hAnsi="Calibri" w:cs="Calibri"/>
              <w:b/>
              <w:lang w:val="en-US"/>
            </w:rPr>
          </w:pPr>
          <w:r w:rsidRPr="00B038CA">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970601" w:rsidRDefault="00970601">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970601" w:rsidRPr="00A71BFF" w:rsidRDefault="00970601">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970601" w:rsidRPr="00A71BFF" w:rsidRDefault="00970601">
          <w:pPr>
            <w:jc w:val="right"/>
            <w:rPr>
              <w:rFonts w:ascii="Calibri" w:hAnsi="Calibri" w:cs="Calibri"/>
              <w:b/>
              <w:bCs/>
              <w:spacing w:val="60"/>
              <w:sz w:val="16"/>
              <w:szCs w:val="16"/>
              <w:lang w:val="it-IT"/>
            </w:rPr>
          </w:pPr>
        </w:p>
        <w:p w:rsidR="00970601" w:rsidRPr="00A71BFF" w:rsidRDefault="0097060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970601" w:rsidRPr="00A71BFF" w:rsidRDefault="0097060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970601" w:rsidRPr="00A71BFF" w:rsidRDefault="0097060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DIRECTIA URBANISM</w:t>
          </w:r>
        </w:p>
        <w:p w:rsidR="00970601" w:rsidRDefault="00970601">
          <w:pPr>
            <w:jc w:val="right"/>
            <w:rPr>
              <w:rFonts w:ascii="Calibri" w:hAnsi="Calibri" w:cs="Calibri"/>
              <w:bCs/>
              <w:spacing w:val="60"/>
              <w:sz w:val="16"/>
              <w:szCs w:val="20"/>
              <w:lang w:val="it-IT"/>
            </w:rPr>
          </w:pPr>
        </w:p>
        <w:p w:rsidR="00970601" w:rsidRPr="00A71BFF" w:rsidRDefault="00970601">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970601" w:rsidRPr="00A71BFF" w:rsidRDefault="00970601">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970601" w:rsidRPr="00A71BFF" w:rsidRDefault="00970601">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970601" w:rsidRPr="00A71BFF" w:rsidRDefault="00970601">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970601" w:rsidRPr="00A71BFF" w:rsidRDefault="00970601">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5E5EAC"/>
    <w:multiLevelType w:val="multilevel"/>
    <w:tmpl w:val="73308A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162C3D50"/>
    <w:multiLevelType w:val="hybridMultilevel"/>
    <w:tmpl w:val="1DD26F3E"/>
    <w:lvl w:ilvl="0" w:tplc="778A805E">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B76BB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6DD1832"/>
    <w:multiLevelType w:val="multilevel"/>
    <w:tmpl w:val="D0BC7C82"/>
    <w:styleLink w:val="WWNum2"/>
    <w:lvl w:ilvl="0">
      <w:numFmt w:val="bullet"/>
      <w:lvlText w:val="-"/>
      <w:lvlJc w:val="left"/>
      <w:rPr>
        <w:rFonts w:ascii="Times New Roman" w:eastAsia="Batang"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381958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96926EF"/>
    <w:multiLevelType w:val="hybridMultilevel"/>
    <w:tmpl w:val="A72CB47E"/>
    <w:lvl w:ilvl="0" w:tplc="D3E44E16">
      <w:start w:val="1"/>
      <w:numFmt w:val="decimal"/>
      <w:lvlText w:val="%1."/>
      <w:lvlJc w:val="left"/>
      <w:pPr>
        <w:ind w:left="1770" w:hanging="105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AE2E1E"/>
    <w:multiLevelType w:val="multilevel"/>
    <w:tmpl w:val="BF2C7D60"/>
    <w:styleLink w:val="WWNum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nsid w:val="50951A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0E87A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A4575EA"/>
    <w:multiLevelType w:val="multilevel"/>
    <w:tmpl w:val="C4F8E842"/>
    <w:styleLink w:val="WWNum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num w:numId="1">
    <w:abstractNumId w:val="0"/>
  </w:num>
  <w:num w:numId="2">
    <w:abstractNumId w:val="7"/>
  </w:num>
  <w:num w:numId="3">
    <w:abstractNumId w:val="4"/>
  </w:num>
  <w:num w:numId="4">
    <w:abstractNumId w:val="10"/>
  </w:num>
  <w:num w:numId="5">
    <w:abstractNumId w:val="10"/>
  </w:num>
  <w:num w:numId="6">
    <w:abstractNumId w:val="4"/>
  </w:num>
  <w:num w:numId="7">
    <w:abstractNumId w:val="1"/>
  </w:num>
  <w:num w:numId="8">
    <w:abstractNumId w:val="10"/>
  </w:num>
  <w:num w:numId="9">
    <w:abstractNumId w:val="6"/>
  </w:num>
  <w:num w:numId="10">
    <w:abstractNumId w:val="2"/>
  </w:num>
  <w:num w:numId="11">
    <w:abstractNumId w:val="8"/>
  </w:num>
  <w:num w:numId="12">
    <w:abstractNumId w:val="9"/>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colormenu v:ext="edit" fillcolor="white"/>
    </o:shapedefaults>
    <o:shapelayout v:ext="edit">
      <o:idmap v:ext="edit" data="2"/>
    </o:shapelayout>
  </w:hdrShapeDefaults>
  <w:footnotePr>
    <w:footnote w:id="-1"/>
    <w:footnote w:id="0"/>
  </w:footnotePr>
  <w:endnotePr>
    <w:endnote w:id="-1"/>
    <w:endnote w:id="0"/>
  </w:endnotePr>
  <w:compat/>
  <w:rsids>
    <w:rsidRoot w:val="00677C5B"/>
    <w:rsid w:val="00004A78"/>
    <w:rsid w:val="0002292C"/>
    <w:rsid w:val="000261D2"/>
    <w:rsid w:val="0002782E"/>
    <w:rsid w:val="000345C5"/>
    <w:rsid w:val="00056B9D"/>
    <w:rsid w:val="000600EA"/>
    <w:rsid w:val="0006591B"/>
    <w:rsid w:val="00074E7A"/>
    <w:rsid w:val="00080EEB"/>
    <w:rsid w:val="00085B7C"/>
    <w:rsid w:val="000915FA"/>
    <w:rsid w:val="000A5913"/>
    <w:rsid w:val="000C0ECF"/>
    <w:rsid w:val="000C2BAB"/>
    <w:rsid w:val="000D6F9A"/>
    <w:rsid w:val="000E117E"/>
    <w:rsid w:val="000F66ED"/>
    <w:rsid w:val="001073A5"/>
    <w:rsid w:val="00120050"/>
    <w:rsid w:val="0014747A"/>
    <w:rsid w:val="0016276D"/>
    <w:rsid w:val="00170279"/>
    <w:rsid w:val="00176557"/>
    <w:rsid w:val="00177ADE"/>
    <w:rsid w:val="001E4278"/>
    <w:rsid w:val="001F4D61"/>
    <w:rsid w:val="001F76E9"/>
    <w:rsid w:val="00202FB1"/>
    <w:rsid w:val="0023282E"/>
    <w:rsid w:val="00242CDD"/>
    <w:rsid w:val="00266419"/>
    <w:rsid w:val="00275960"/>
    <w:rsid w:val="002B765B"/>
    <w:rsid w:val="002C24FD"/>
    <w:rsid w:val="002C5ED8"/>
    <w:rsid w:val="002C619C"/>
    <w:rsid w:val="002D2CD5"/>
    <w:rsid w:val="002E3922"/>
    <w:rsid w:val="002E7357"/>
    <w:rsid w:val="002E7755"/>
    <w:rsid w:val="002F1C5A"/>
    <w:rsid w:val="002F2D91"/>
    <w:rsid w:val="002F4567"/>
    <w:rsid w:val="003044E9"/>
    <w:rsid w:val="00317846"/>
    <w:rsid w:val="00335CDB"/>
    <w:rsid w:val="0034331F"/>
    <w:rsid w:val="00346CFF"/>
    <w:rsid w:val="00346F65"/>
    <w:rsid w:val="00362B7F"/>
    <w:rsid w:val="00374CC5"/>
    <w:rsid w:val="003803D6"/>
    <w:rsid w:val="0039446D"/>
    <w:rsid w:val="003A3462"/>
    <w:rsid w:val="003B7A99"/>
    <w:rsid w:val="003C37B5"/>
    <w:rsid w:val="003D4D91"/>
    <w:rsid w:val="003E2916"/>
    <w:rsid w:val="003E45A3"/>
    <w:rsid w:val="003F0965"/>
    <w:rsid w:val="004144C0"/>
    <w:rsid w:val="0042035D"/>
    <w:rsid w:val="0042238E"/>
    <w:rsid w:val="00425231"/>
    <w:rsid w:val="00433FBC"/>
    <w:rsid w:val="00472C02"/>
    <w:rsid w:val="004947DB"/>
    <w:rsid w:val="004D2080"/>
    <w:rsid w:val="004E4F2D"/>
    <w:rsid w:val="004F4AAF"/>
    <w:rsid w:val="004F7FD0"/>
    <w:rsid w:val="00505C82"/>
    <w:rsid w:val="00511AF5"/>
    <w:rsid w:val="00527D87"/>
    <w:rsid w:val="0054080F"/>
    <w:rsid w:val="00544829"/>
    <w:rsid w:val="00545230"/>
    <w:rsid w:val="00555281"/>
    <w:rsid w:val="00556154"/>
    <w:rsid w:val="00571269"/>
    <w:rsid w:val="005757C5"/>
    <w:rsid w:val="00577303"/>
    <w:rsid w:val="00593641"/>
    <w:rsid w:val="00595E6F"/>
    <w:rsid w:val="005A1CF2"/>
    <w:rsid w:val="005A2C93"/>
    <w:rsid w:val="005B1578"/>
    <w:rsid w:val="005B4D9E"/>
    <w:rsid w:val="005C0299"/>
    <w:rsid w:val="005C37A0"/>
    <w:rsid w:val="005D611B"/>
    <w:rsid w:val="005E0258"/>
    <w:rsid w:val="005E2A64"/>
    <w:rsid w:val="005F12FB"/>
    <w:rsid w:val="0060237C"/>
    <w:rsid w:val="00604FCC"/>
    <w:rsid w:val="00614297"/>
    <w:rsid w:val="006173AD"/>
    <w:rsid w:val="006251B9"/>
    <w:rsid w:val="006443A9"/>
    <w:rsid w:val="00647AC7"/>
    <w:rsid w:val="006500A8"/>
    <w:rsid w:val="00652C04"/>
    <w:rsid w:val="00654DD7"/>
    <w:rsid w:val="00656293"/>
    <w:rsid w:val="00677982"/>
    <w:rsid w:val="00677C5B"/>
    <w:rsid w:val="006A0A39"/>
    <w:rsid w:val="006B64A1"/>
    <w:rsid w:val="006C113F"/>
    <w:rsid w:val="006C23D1"/>
    <w:rsid w:val="006E2340"/>
    <w:rsid w:val="00731339"/>
    <w:rsid w:val="0075439A"/>
    <w:rsid w:val="00763C47"/>
    <w:rsid w:val="007654E4"/>
    <w:rsid w:val="00767B56"/>
    <w:rsid w:val="00771AF2"/>
    <w:rsid w:val="00793B53"/>
    <w:rsid w:val="007B6344"/>
    <w:rsid w:val="007B7C92"/>
    <w:rsid w:val="007E29D8"/>
    <w:rsid w:val="007E5FC8"/>
    <w:rsid w:val="007F50E8"/>
    <w:rsid w:val="0080754A"/>
    <w:rsid w:val="00821EF1"/>
    <w:rsid w:val="008306C5"/>
    <w:rsid w:val="00842C7A"/>
    <w:rsid w:val="00863CD4"/>
    <w:rsid w:val="00883AF6"/>
    <w:rsid w:val="00885937"/>
    <w:rsid w:val="008A65B1"/>
    <w:rsid w:val="008B4E8A"/>
    <w:rsid w:val="008E4433"/>
    <w:rsid w:val="008F2DF0"/>
    <w:rsid w:val="008F7832"/>
    <w:rsid w:val="009056AC"/>
    <w:rsid w:val="009251B7"/>
    <w:rsid w:val="009268B1"/>
    <w:rsid w:val="009334B0"/>
    <w:rsid w:val="00952146"/>
    <w:rsid w:val="00970601"/>
    <w:rsid w:val="00970CB1"/>
    <w:rsid w:val="0097318A"/>
    <w:rsid w:val="00981DD3"/>
    <w:rsid w:val="009A415F"/>
    <w:rsid w:val="009A7B66"/>
    <w:rsid w:val="009B782D"/>
    <w:rsid w:val="009C0C4F"/>
    <w:rsid w:val="009C706F"/>
    <w:rsid w:val="009D180C"/>
    <w:rsid w:val="009D3011"/>
    <w:rsid w:val="009F5974"/>
    <w:rsid w:val="00A03C66"/>
    <w:rsid w:val="00A306C1"/>
    <w:rsid w:val="00A31CEE"/>
    <w:rsid w:val="00A338D3"/>
    <w:rsid w:val="00A403A9"/>
    <w:rsid w:val="00A54654"/>
    <w:rsid w:val="00A60265"/>
    <w:rsid w:val="00A71BFF"/>
    <w:rsid w:val="00AA6822"/>
    <w:rsid w:val="00AB04F6"/>
    <w:rsid w:val="00AC15A5"/>
    <w:rsid w:val="00AC2DAA"/>
    <w:rsid w:val="00AC4B83"/>
    <w:rsid w:val="00AD0823"/>
    <w:rsid w:val="00AF35DF"/>
    <w:rsid w:val="00AF709F"/>
    <w:rsid w:val="00AF7B57"/>
    <w:rsid w:val="00B038CA"/>
    <w:rsid w:val="00B10D56"/>
    <w:rsid w:val="00B16833"/>
    <w:rsid w:val="00B201C0"/>
    <w:rsid w:val="00B30E6F"/>
    <w:rsid w:val="00B33161"/>
    <w:rsid w:val="00B432DE"/>
    <w:rsid w:val="00B535ED"/>
    <w:rsid w:val="00B53709"/>
    <w:rsid w:val="00B6089B"/>
    <w:rsid w:val="00B61962"/>
    <w:rsid w:val="00B644C4"/>
    <w:rsid w:val="00B6723F"/>
    <w:rsid w:val="00B71709"/>
    <w:rsid w:val="00B91C59"/>
    <w:rsid w:val="00B922C7"/>
    <w:rsid w:val="00BA0362"/>
    <w:rsid w:val="00BA4DDA"/>
    <w:rsid w:val="00BC0BFB"/>
    <w:rsid w:val="00BD1AE0"/>
    <w:rsid w:val="00BD21F5"/>
    <w:rsid w:val="00BF4A67"/>
    <w:rsid w:val="00C065AC"/>
    <w:rsid w:val="00C10503"/>
    <w:rsid w:val="00C1552C"/>
    <w:rsid w:val="00C349AE"/>
    <w:rsid w:val="00C35FD4"/>
    <w:rsid w:val="00C376EF"/>
    <w:rsid w:val="00C42FC3"/>
    <w:rsid w:val="00C5329A"/>
    <w:rsid w:val="00C76D3C"/>
    <w:rsid w:val="00C815B7"/>
    <w:rsid w:val="00CA62EC"/>
    <w:rsid w:val="00CB43B0"/>
    <w:rsid w:val="00CD3326"/>
    <w:rsid w:val="00CD36F4"/>
    <w:rsid w:val="00CE5EE7"/>
    <w:rsid w:val="00CE7BA2"/>
    <w:rsid w:val="00CF0E0E"/>
    <w:rsid w:val="00CF36B0"/>
    <w:rsid w:val="00CF5AA1"/>
    <w:rsid w:val="00CF6D97"/>
    <w:rsid w:val="00D13A55"/>
    <w:rsid w:val="00D353DB"/>
    <w:rsid w:val="00D41124"/>
    <w:rsid w:val="00D50C71"/>
    <w:rsid w:val="00D52ACB"/>
    <w:rsid w:val="00D84655"/>
    <w:rsid w:val="00D84DA7"/>
    <w:rsid w:val="00D8575C"/>
    <w:rsid w:val="00DA6D2A"/>
    <w:rsid w:val="00DA7EFA"/>
    <w:rsid w:val="00DD2D46"/>
    <w:rsid w:val="00DD7C34"/>
    <w:rsid w:val="00DE08CF"/>
    <w:rsid w:val="00E21648"/>
    <w:rsid w:val="00E41768"/>
    <w:rsid w:val="00E44166"/>
    <w:rsid w:val="00E44816"/>
    <w:rsid w:val="00E51D7B"/>
    <w:rsid w:val="00E63621"/>
    <w:rsid w:val="00E75C99"/>
    <w:rsid w:val="00E83333"/>
    <w:rsid w:val="00EB345E"/>
    <w:rsid w:val="00EB6727"/>
    <w:rsid w:val="00EE25D6"/>
    <w:rsid w:val="00EF42B4"/>
    <w:rsid w:val="00F0065D"/>
    <w:rsid w:val="00F321C9"/>
    <w:rsid w:val="00F42192"/>
    <w:rsid w:val="00F569E4"/>
    <w:rsid w:val="00F85E16"/>
    <w:rsid w:val="00F96622"/>
    <w:rsid w:val="00FA2B3B"/>
    <w:rsid w:val="00FC0633"/>
    <w:rsid w:val="00FD46AB"/>
    <w:rsid w:val="00FE5639"/>
    <w:rsid w:val="00FE7867"/>
    <w:rsid w:val="00FF1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3D1"/>
    <w:pPr>
      <w:suppressAutoHyphens/>
    </w:pPr>
    <w:rPr>
      <w:sz w:val="24"/>
      <w:szCs w:val="24"/>
      <w:lang w:val="en-GB" w:eastAsia="ar-SA"/>
    </w:rPr>
  </w:style>
  <w:style w:type="paragraph" w:styleId="Heading1">
    <w:name w:val="heading 1"/>
    <w:basedOn w:val="Normal"/>
    <w:next w:val="Normal"/>
    <w:qFormat/>
    <w:rsid w:val="006C23D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6C23D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6C23D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23D1"/>
    <w:rPr>
      <w:rFonts w:ascii="Symbol" w:hAnsi="Symbol" w:cs="Symbol"/>
    </w:rPr>
  </w:style>
  <w:style w:type="character" w:customStyle="1" w:styleId="WW8Num1z1">
    <w:name w:val="WW8Num1z1"/>
    <w:rsid w:val="006C23D1"/>
    <w:rPr>
      <w:rFonts w:ascii="Courier New" w:hAnsi="Courier New" w:cs="Courier New"/>
    </w:rPr>
  </w:style>
  <w:style w:type="character" w:customStyle="1" w:styleId="WW8Num1z2">
    <w:name w:val="WW8Num1z2"/>
    <w:rsid w:val="006C23D1"/>
    <w:rPr>
      <w:rFonts w:ascii="Wingdings" w:hAnsi="Wingdings" w:cs="Wingdings"/>
    </w:rPr>
  </w:style>
  <w:style w:type="character" w:customStyle="1" w:styleId="WW8Num3z0">
    <w:name w:val="WW8Num3z0"/>
    <w:rsid w:val="006C23D1"/>
    <w:rPr>
      <w:rFonts w:ascii="Wingdings" w:hAnsi="Wingdings" w:cs="Wingdings"/>
    </w:rPr>
  </w:style>
  <w:style w:type="character" w:customStyle="1" w:styleId="WW8Num4z0">
    <w:name w:val="WW8Num4z0"/>
    <w:rsid w:val="006C23D1"/>
    <w:rPr>
      <w:rFonts w:ascii="Times New Roman" w:eastAsia="Times New Roman" w:hAnsi="Times New Roman" w:cs="Times New Roman"/>
    </w:rPr>
  </w:style>
  <w:style w:type="character" w:customStyle="1" w:styleId="WW8Num4z1">
    <w:name w:val="WW8Num4z1"/>
    <w:rsid w:val="006C23D1"/>
    <w:rPr>
      <w:rFonts w:ascii="Courier New" w:hAnsi="Courier New" w:cs="Courier New"/>
    </w:rPr>
  </w:style>
  <w:style w:type="character" w:customStyle="1" w:styleId="WW8Num4z2">
    <w:name w:val="WW8Num4z2"/>
    <w:rsid w:val="006C23D1"/>
    <w:rPr>
      <w:rFonts w:ascii="Wingdings" w:hAnsi="Wingdings" w:cs="Wingdings"/>
    </w:rPr>
  </w:style>
  <w:style w:type="character" w:customStyle="1" w:styleId="WW8Num4z3">
    <w:name w:val="WW8Num4z3"/>
    <w:rsid w:val="006C23D1"/>
    <w:rPr>
      <w:rFonts w:ascii="Symbol" w:hAnsi="Symbol" w:cs="Symbol"/>
    </w:rPr>
  </w:style>
  <w:style w:type="character" w:customStyle="1" w:styleId="WW8Num5z0">
    <w:name w:val="WW8Num5z0"/>
    <w:rsid w:val="006C23D1"/>
    <w:rPr>
      <w:rFonts w:ascii="Cambria" w:eastAsia="Batang" w:hAnsi="Cambria" w:cs="Cambria"/>
    </w:rPr>
  </w:style>
  <w:style w:type="character" w:customStyle="1" w:styleId="WW8Num5z1">
    <w:name w:val="WW8Num5z1"/>
    <w:rsid w:val="006C23D1"/>
    <w:rPr>
      <w:rFonts w:ascii="Courier New" w:hAnsi="Courier New" w:cs="Courier New"/>
    </w:rPr>
  </w:style>
  <w:style w:type="character" w:customStyle="1" w:styleId="WW8Num5z2">
    <w:name w:val="WW8Num5z2"/>
    <w:rsid w:val="006C23D1"/>
    <w:rPr>
      <w:rFonts w:ascii="Wingdings" w:hAnsi="Wingdings" w:cs="Wingdings"/>
    </w:rPr>
  </w:style>
  <w:style w:type="character" w:customStyle="1" w:styleId="WW8Num5z3">
    <w:name w:val="WW8Num5z3"/>
    <w:rsid w:val="006C23D1"/>
    <w:rPr>
      <w:rFonts w:ascii="Symbol" w:hAnsi="Symbol" w:cs="Symbol"/>
    </w:rPr>
  </w:style>
  <w:style w:type="character" w:customStyle="1" w:styleId="DefaultParagraphFont1">
    <w:name w:val="Default Paragraph Font1"/>
    <w:rsid w:val="006C23D1"/>
  </w:style>
  <w:style w:type="character" w:customStyle="1" w:styleId="Heading1Char">
    <w:name w:val="Heading 1 Char"/>
    <w:rsid w:val="006C23D1"/>
    <w:rPr>
      <w:rFonts w:ascii="Cambria" w:eastAsia="Times New Roman" w:hAnsi="Cambria" w:cs="Times New Roman"/>
      <w:b/>
      <w:bCs/>
      <w:kern w:val="1"/>
      <w:sz w:val="32"/>
      <w:szCs w:val="32"/>
      <w:lang w:val="en-GB"/>
    </w:rPr>
  </w:style>
  <w:style w:type="character" w:customStyle="1" w:styleId="Heading2Char">
    <w:name w:val="Heading 2 Char"/>
    <w:rsid w:val="006C23D1"/>
    <w:rPr>
      <w:rFonts w:ascii="Cambria" w:eastAsia="Times New Roman" w:hAnsi="Cambria" w:cs="Times New Roman"/>
      <w:b/>
      <w:bCs/>
      <w:i/>
      <w:iCs/>
      <w:sz w:val="28"/>
      <w:szCs w:val="28"/>
      <w:lang w:val="en-GB"/>
    </w:rPr>
  </w:style>
  <w:style w:type="character" w:customStyle="1" w:styleId="Heading4Char">
    <w:name w:val="Heading 4 Char"/>
    <w:rsid w:val="006C23D1"/>
    <w:rPr>
      <w:rFonts w:ascii="Calibri" w:eastAsia="Times New Roman" w:hAnsi="Calibri" w:cs="Times New Roman"/>
      <w:b/>
      <w:bCs/>
      <w:sz w:val="28"/>
      <w:szCs w:val="28"/>
      <w:lang w:val="en-GB"/>
    </w:rPr>
  </w:style>
  <w:style w:type="character" w:customStyle="1" w:styleId="BodyTextIndentChar">
    <w:name w:val="Body Text Indent Char"/>
    <w:rsid w:val="006C23D1"/>
    <w:rPr>
      <w:sz w:val="24"/>
      <w:szCs w:val="24"/>
      <w:lang w:val="en-GB"/>
    </w:rPr>
  </w:style>
  <w:style w:type="character" w:customStyle="1" w:styleId="BodyTextIndent2Char">
    <w:name w:val="Body Text Indent 2 Char"/>
    <w:rsid w:val="006C23D1"/>
    <w:rPr>
      <w:sz w:val="24"/>
      <w:szCs w:val="24"/>
      <w:lang w:val="en-GB"/>
    </w:rPr>
  </w:style>
  <w:style w:type="character" w:customStyle="1" w:styleId="BodyTextIndent3Char">
    <w:name w:val="Body Text Indent 3 Char"/>
    <w:rsid w:val="006C23D1"/>
    <w:rPr>
      <w:sz w:val="16"/>
      <w:szCs w:val="16"/>
      <w:lang w:val="en-GB"/>
    </w:rPr>
  </w:style>
  <w:style w:type="character" w:customStyle="1" w:styleId="BodyTextChar">
    <w:name w:val="Body Text Char"/>
    <w:rsid w:val="006C23D1"/>
    <w:rPr>
      <w:sz w:val="24"/>
      <w:szCs w:val="24"/>
      <w:lang w:val="en-GB"/>
    </w:rPr>
  </w:style>
  <w:style w:type="character" w:customStyle="1" w:styleId="HeaderChar">
    <w:name w:val="Header Char"/>
    <w:rsid w:val="006C23D1"/>
    <w:rPr>
      <w:rFonts w:cs="Times New Roman"/>
      <w:sz w:val="24"/>
      <w:szCs w:val="24"/>
      <w:lang w:val="en-GB"/>
    </w:rPr>
  </w:style>
  <w:style w:type="character" w:customStyle="1" w:styleId="FooterChar">
    <w:name w:val="Footer Char"/>
    <w:rsid w:val="006C23D1"/>
    <w:rPr>
      <w:sz w:val="24"/>
      <w:szCs w:val="24"/>
      <w:lang w:val="en-GB"/>
    </w:rPr>
  </w:style>
  <w:style w:type="character" w:customStyle="1" w:styleId="BodyText3Char">
    <w:name w:val="Body Text 3 Char"/>
    <w:rsid w:val="006C23D1"/>
    <w:rPr>
      <w:sz w:val="16"/>
      <w:szCs w:val="16"/>
      <w:lang w:val="en-GB"/>
    </w:rPr>
  </w:style>
  <w:style w:type="character" w:customStyle="1" w:styleId="rezumat1">
    <w:name w:val="rezumat_1"/>
    <w:rsid w:val="006C23D1"/>
    <w:rPr>
      <w:rFonts w:cs="Times New Roman"/>
    </w:rPr>
  </w:style>
  <w:style w:type="character" w:styleId="PageNumber">
    <w:name w:val="page number"/>
    <w:rsid w:val="006C23D1"/>
    <w:rPr>
      <w:rFonts w:cs="Times New Roman"/>
    </w:rPr>
  </w:style>
  <w:style w:type="character" w:customStyle="1" w:styleId="BalloonTextChar">
    <w:name w:val="Balloon Text Char"/>
    <w:rsid w:val="006C23D1"/>
    <w:rPr>
      <w:rFonts w:ascii="Tahoma" w:hAnsi="Tahoma" w:cs="Tahoma"/>
      <w:sz w:val="16"/>
      <w:szCs w:val="16"/>
      <w:lang w:val="en-GB"/>
    </w:rPr>
  </w:style>
  <w:style w:type="character" w:customStyle="1" w:styleId="Bullets">
    <w:name w:val="Bullets"/>
    <w:rsid w:val="006C23D1"/>
    <w:rPr>
      <w:rFonts w:ascii="OpenSymbol" w:eastAsia="OpenSymbol" w:hAnsi="OpenSymbol" w:cs="OpenSymbol"/>
    </w:rPr>
  </w:style>
  <w:style w:type="paragraph" w:customStyle="1" w:styleId="Heading">
    <w:name w:val="Heading"/>
    <w:basedOn w:val="Normal"/>
    <w:next w:val="BodyText"/>
    <w:rsid w:val="006C23D1"/>
    <w:pPr>
      <w:keepNext/>
      <w:spacing w:before="240" w:after="120"/>
    </w:pPr>
    <w:rPr>
      <w:rFonts w:ascii="Arial" w:eastAsia="Lucida Sans Unicode" w:hAnsi="Arial" w:cs="Mangal"/>
      <w:sz w:val="28"/>
      <w:szCs w:val="28"/>
    </w:rPr>
  </w:style>
  <w:style w:type="paragraph" w:styleId="BodyText">
    <w:name w:val="Body Text"/>
    <w:basedOn w:val="Normal"/>
    <w:rsid w:val="006C23D1"/>
    <w:pPr>
      <w:jc w:val="center"/>
    </w:pPr>
    <w:rPr>
      <w:sz w:val="28"/>
      <w:lang w:val="en-US"/>
    </w:rPr>
  </w:style>
  <w:style w:type="paragraph" w:styleId="List">
    <w:name w:val="List"/>
    <w:basedOn w:val="BodyText"/>
    <w:rsid w:val="006C23D1"/>
    <w:rPr>
      <w:rFonts w:cs="Mangal"/>
    </w:rPr>
  </w:style>
  <w:style w:type="paragraph" w:customStyle="1" w:styleId="Caption1">
    <w:name w:val="Caption1"/>
    <w:basedOn w:val="Normal"/>
    <w:rsid w:val="006C23D1"/>
    <w:pPr>
      <w:suppressLineNumbers/>
      <w:spacing w:before="120" w:after="120"/>
    </w:pPr>
    <w:rPr>
      <w:rFonts w:cs="Mangal"/>
      <w:i/>
      <w:iCs/>
    </w:rPr>
  </w:style>
  <w:style w:type="paragraph" w:customStyle="1" w:styleId="Index">
    <w:name w:val="Index"/>
    <w:basedOn w:val="Normal"/>
    <w:rsid w:val="006C23D1"/>
    <w:pPr>
      <w:suppressLineNumbers/>
    </w:pPr>
    <w:rPr>
      <w:rFonts w:cs="Mangal"/>
    </w:rPr>
  </w:style>
  <w:style w:type="paragraph" w:styleId="BodyTextIndent">
    <w:name w:val="Body Text Indent"/>
    <w:basedOn w:val="Normal"/>
    <w:rsid w:val="006C23D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6C23D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6C23D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6C23D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6C23D1"/>
    <w:pPr>
      <w:ind w:right="43" w:firstLine="993"/>
    </w:pPr>
    <w:rPr>
      <w:rFonts w:ascii="Bookman Old Style" w:hAnsi="Bookman Old Style" w:cs="Bookman Old Style"/>
      <w:b/>
      <w:szCs w:val="20"/>
      <w:lang w:val="en-US"/>
    </w:rPr>
  </w:style>
  <w:style w:type="paragraph" w:styleId="Header">
    <w:name w:val="header"/>
    <w:basedOn w:val="Normal"/>
    <w:rsid w:val="006C23D1"/>
    <w:pPr>
      <w:tabs>
        <w:tab w:val="center" w:pos="4536"/>
        <w:tab w:val="right" w:pos="9072"/>
      </w:tabs>
    </w:pPr>
  </w:style>
  <w:style w:type="paragraph" w:styleId="Footer">
    <w:name w:val="footer"/>
    <w:basedOn w:val="Normal"/>
    <w:rsid w:val="006C23D1"/>
    <w:pPr>
      <w:tabs>
        <w:tab w:val="center" w:pos="4536"/>
        <w:tab w:val="right" w:pos="9072"/>
      </w:tabs>
    </w:pPr>
  </w:style>
  <w:style w:type="paragraph" w:customStyle="1" w:styleId="BodyText31">
    <w:name w:val="Body Text 31"/>
    <w:basedOn w:val="Normal"/>
    <w:rsid w:val="006C23D1"/>
    <w:pPr>
      <w:spacing w:after="120"/>
    </w:pPr>
    <w:rPr>
      <w:sz w:val="16"/>
      <w:szCs w:val="16"/>
    </w:rPr>
  </w:style>
  <w:style w:type="paragraph" w:customStyle="1" w:styleId="BalloonText1">
    <w:name w:val="Balloon Text1"/>
    <w:basedOn w:val="Normal"/>
    <w:rsid w:val="006C23D1"/>
    <w:rPr>
      <w:rFonts w:ascii="Tahoma" w:hAnsi="Tahoma" w:cs="Tahoma"/>
      <w:sz w:val="16"/>
      <w:szCs w:val="16"/>
    </w:rPr>
  </w:style>
  <w:style w:type="paragraph" w:customStyle="1" w:styleId="WW-Default">
    <w:name w:val="WW-Default"/>
    <w:rsid w:val="006C23D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6C23D1"/>
  </w:style>
  <w:style w:type="paragraph" w:customStyle="1" w:styleId="TableContents">
    <w:name w:val="Table Contents"/>
    <w:basedOn w:val="Normal"/>
    <w:rsid w:val="006C23D1"/>
    <w:pPr>
      <w:suppressLineNumbers/>
    </w:pPr>
  </w:style>
  <w:style w:type="paragraph" w:customStyle="1" w:styleId="TableHeading">
    <w:name w:val="Table Heading"/>
    <w:basedOn w:val="TableContents"/>
    <w:rsid w:val="006C23D1"/>
    <w:pPr>
      <w:jc w:val="center"/>
    </w:pPr>
    <w:rPr>
      <w:b/>
      <w:bCs/>
    </w:rPr>
  </w:style>
  <w:style w:type="paragraph" w:styleId="BalloonText">
    <w:name w:val="Balloon Text"/>
    <w:basedOn w:val="Normal"/>
    <w:link w:val="BalloonTextChar1"/>
    <w:rsid w:val="00B91C59"/>
    <w:rPr>
      <w:rFonts w:ascii="Tahoma" w:hAnsi="Tahoma" w:cs="Tahoma"/>
      <w:sz w:val="16"/>
      <w:szCs w:val="16"/>
    </w:rPr>
  </w:style>
  <w:style w:type="character" w:customStyle="1" w:styleId="BalloonTextChar1">
    <w:name w:val="Balloon Text Char1"/>
    <w:basedOn w:val="DefaultParagraphFont"/>
    <w:link w:val="BalloonText"/>
    <w:rsid w:val="00B91C59"/>
    <w:rPr>
      <w:rFonts w:ascii="Tahoma" w:hAnsi="Tahoma" w:cs="Tahoma"/>
      <w:sz w:val="16"/>
      <w:szCs w:val="16"/>
      <w:lang w:val="en-GB" w:eastAsia="ar-SA"/>
    </w:rPr>
  </w:style>
  <w:style w:type="paragraph" w:customStyle="1" w:styleId="Standard">
    <w:name w:val="Standard"/>
    <w:rsid w:val="00B91C59"/>
    <w:pPr>
      <w:suppressAutoHyphens/>
      <w:autoSpaceDN w:val="0"/>
      <w:textAlignment w:val="baseline"/>
    </w:pPr>
    <w:rPr>
      <w:rFonts w:ascii="Arial" w:hAnsi="Arial" w:cs="Arial"/>
      <w:color w:val="000000"/>
      <w:kern w:val="3"/>
      <w:sz w:val="24"/>
      <w:szCs w:val="24"/>
    </w:rPr>
  </w:style>
  <w:style w:type="paragraph" w:customStyle="1" w:styleId="Style3">
    <w:name w:val="Style3"/>
    <w:basedOn w:val="Standard"/>
    <w:rsid w:val="00B91C59"/>
    <w:pPr>
      <w:spacing w:line="276" w:lineRule="exact"/>
      <w:ind w:hanging="350"/>
      <w:jc w:val="both"/>
    </w:pPr>
  </w:style>
  <w:style w:type="character" w:customStyle="1" w:styleId="FontStyle44">
    <w:name w:val="Font Style44"/>
    <w:basedOn w:val="DefaultParagraphFont"/>
    <w:rsid w:val="00B91C59"/>
    <w:rPr>
      <w:rFonts w:ascii="Arial" w:hAnsi="Arial" w:cs="Arial"/>
      <w:sz w:val="22"/>
      <w:szCs w:val="22"/>
    </w:rPr>
  </w:style>
  <w:style w:type="numbering" w:customStyle="1" w:styleId="WWNum1">
    <w:name w:val="WWNum1"/>
    <w:basedOn w:val="NoList"/>
    <w:rsid w:val="00B91C59"/>
    <w:pPr>
      <w:numPr>
        <w:numId w:val="2"/>
      </w:numPr>
    </w:pPr>
  </w:style>
  <w:style w:type="numbering" w:customStyle="1" w:styleId="WWNum2">
    <w:name w:val="WWNum2"/>
    <w:basedOn w:val="NoList"/>
    <w:rsid w:val="00B91C59"/>
    <w:pPr>
      <w:numPr>
        <w:numId w:val="3"/>
      </w:numPr>
    </w:pPr>
  </w:style>
  <w:style w:type="numbering" w:customStyle="1" w:styleId="WWNum4">
    <w:name w:val="WWNum4"/>
    <w:basedOn w:val="NoList"/>
    <w:rsid w:val="00B91C59"/>
    <w:pPr>
      <w:numPr>
        <w:numId w:val="4"/>
      </w:numPr>
    </w:pPr>
  </w:style>
  <w:style w:type="paragraph" w:styleId="ListParagraph">
    <w:name w:val="List Paragraph"/>
    <w:basedOn w:val="Normal"/>
    <w:uiPriority w:val="34"/>
    <w:qFormat/>
    <w:rsid w:val="003E45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1840</Words>
  <Characters>10492</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SUrsu</cp:lastModifiedBy>
  <cp:revision>7</cp:revision>
  <cp:lastPrinted>2017-11-14T11:51:00Z</cp:lastPrinted>
  <dcterms:created xsi:type="dcterms:W3CDTF">2017-11-06T07:32:00Z</dcterms:created>
  <dcterms:modified xsi:type="dcterms:W3CDTF">2017-11-15T09:53:00Z</dcterms:modified>
</cp:coreProperties>
</file>