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5C" w:rsidRDefault="00CC465C" w:rsidP="00CC465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CC465C">
        <w:tc>
          <w:tcPr>
            <w:tcW w:w="3656" w:type="pct"/>
          </w:tcPr>
          <w:p w:rsidR="00CC465C" w:rsidRDefault="00CC4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CC465C" w:rsidRPr="00CC465C" w:rsidRDefault="00CC4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65C">
              <w:rPr>
                <w:rFonts w:ascii="Times New Roman" w:hAnsi="Times New Roman" w:cs="Times New Roman"/>
                <w:b/>
                <w:bCs/>
                <w:color w:val="000000"/>
              </w:rPr>
              <w:t>AVIZAT</w:t>
            </w:r>
            <w:r w:rsidRPr="00CC465C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proofErr w:type="spellStart"/>
            <w:r w:rsidRPr="00CC465C">
              <w:rPr>
                <w:rFonts w:ascii="Times New Roman" w:hAnsi="Times New Roman" w:cs="Times New Roman"/>
                <w:b/>
                <w:bCs/>
                <w:color w:val="000000"/>
              </w:rPr>
              <w:t>Secretar</w:t>
            </w:r>
            <w:proofErr w:type="spellEnd"/>
          </w:p>
          <w:p w:rsidR="00CC465C" w:rsidRDefault="00CC4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65C">
              <w:rPr>
                <w:rFonts w:ascii="Times New Roman" w:hAnsi="Times New Roman" w:cs="Times New Roman"/>
                <w:b/>
                <w:bCs/>
                <w:color w:val="000000"/>
              </w:rPr>
              <w:t>Jr. SIMONA DRĂGOI</w:t>
            </w:r>
          </w:p>
        </w:tc>
      </w:tr>
    </w:tbl>
    <w:p w:rsidR="00CC465C" w:rsidRDefault="00CC465C" w:rsidP="00CC46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465C" w:rsidRDefault="00CC465C" w:rsidP="00CC4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CC465C" w:rsidRDefault="00CC465C" w:rsidP="00CC4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rectificarii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</w:t>
      </w:r>
    </w:p>
    <w:p w:rsidR="00CC465C" w:rsidRDefault="00CC465C" w:rsidP="00CC4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motive   cu nr.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SC2018  -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28191/26.11.2018 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Timisoara -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SC2018 –.28191/26.11.2018 al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urbanistica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juridica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Timisoara;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2018 nr.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2/03.01.2018;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art.1, art.4, alin.1, art.5, art.19, alin.1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20, alin.1, art.22 alin.1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art.23 alin.1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 din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273/2006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finanţele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OUG 47/01.09.2012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normative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reglementarea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fiscal –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36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lit.b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.(4),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lit.a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modificata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45, alin.2,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215/2001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modificata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C465C" w:rsidRDefault="00CC465C" w:rsidP="00CC4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465C">
        <w:rPr>
          <w:rFonts w:ascii="Times New Roman" w:hAnsi="Times New Roman" w:cs="Times New Roman"/>
          <w:b/>
          <w:color w:val="000000"/>
          <w:sz w:val="24"/>
          <w:szCs w:val="24"/>
        </w:rPr>
        <w:t>Art. 1: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validează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Dispoziţia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nr. 1425 din 12.11.2018 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referitoare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rectificarea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Convenției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împrumut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nr SC2018-25903/05.11.2018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Finanțelor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împrumut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101.029.000 lei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perioadă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20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finanțarea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cheltuieli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curente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furnizării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termice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sezonul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rece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întocmită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Ordonanței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urgență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nr.89/2018;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465C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65C">
        <w:rPr>
          <w:rFonts w:ascii="Times New Roman" w:hAnsi="Times New Roman" w:cs="Times New Roman"/>
          <w:b/>
          <w:color w:val="000000"/>
          <w:sz w:val="24"/>
          <w:szCs w:val="24"/>
        </w:rPr>
        <w:t>2: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rectificarea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al 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proofErr w:type="gram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2018, conform </w:t>
      </w:r>
      <w:r w:rsidRPr="00CC4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 w:rsidRPr="00CC4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1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2018 –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sursa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2A; </w:t>
      </w:r>
      <w:proofErr w:type="spellStart"/>
      <w:r w:rsidRPr="00CC4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 w:rsidRPr="00CC4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2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2018 –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sursa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2E.</w:t>
      </w:r>
    </w:p>
    <w:p w:rsidR="00CC465C" w:rsidRPr="00CC465C" w:rsidRDefault="00CC465C" w:rsidP="00CC46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465C">
        <w:rPr>
          <w:rFonts w:ascii="Times New Roman" w:hAnsi="Times New Roman" w:cs="Times New Roman"/>
          <w:b/>
          <w:color w:val="000000"/>
          <w:sz w:val="24"/>
          <w:szCs w:val="24"/>
        </w:rPr>
        <w:t>Art. 3: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La data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intrării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modifică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corespunzător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556/30.10.2018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rectificarii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2018.</w:t>
      </w:r>
      <w:proofErr w:type="gramEnd"/>
    </w:p>
    <w:p w:rsidR="00CC465C" w:rsidRDefault="00CC465C" w:rsidP="00CC46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465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Economica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Dotari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Diverse,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Generala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Dezvolatre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Urbana,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Relationare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Edilitara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465C">
        <w:rPr>
          <w:rFonts w:ascii="Times New Roman" w:hAnsi="Times New Roman" w:cs="Times New Roman"/>
          <w:b/>
          <w:color w:val="000000"/>
          <w:sz w:val="24"/>
          <w:szCs w:val="24"/>
        </w:rPr>
        <w:t>Art. 5: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465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465C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CC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 Intern;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Controlului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Stat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Mass media locale.</w:t>
      </w:r>
    </w:p>
    <w:p w:rsidR="00CC465C" w:rsidRPr="00CC465C" w:rsidRDefault="00CC465C" w:rsidP="00CC4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CC465C">
        <w:tc>
          <w:tcPr>
            <w:tcW w:w="2562" w:type="pct"/>
          </w:tcPr>
          <w:p w:rsidR="00CC465C" w:rsidRDefault="00CC4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CC465C" w:rsidRDefault="00CC4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CC465C" w:rsidRDefault="00CC4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35185" w:rsidRDefault="00335185"/>
    <w:sectPr w:rsidR="003351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0B12"/>
    <w:multiLevelType w:val="hybridMultilevel"/>
    <w:tmpl w:val="B3344C0C"/>
    <w:lvl w:ilvl="0" w:tplc="560EB712">
      <w:start w:val="1"/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34FB4993"/>
    <w:multiLevelType w:val="hybridMultilevel"/>
    <w:tmpl w:val="0226DC90"/>
    <w:lvl w:ilvl="0" w:tplc="E9EA6DAC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CC465C"/>
    <w:rsid w:val="00335185"/>
    <w:rsid w:val="00A66B15"/>
    <w:rsid w:val="00CC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2018-12-05T11:19:00Z</dcterms:created>
  <dcterms:modified xsi:type="dcterms:W3CDTF">2018-12-05T11:30:00Z</dcterms:modified>
</cp:coreProperties>
</file>