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3F5" w:rsidRPr="00A05918" w:rsidRDefault="00A853F5" w:rsidP="00A853F5">
      <w:pPr>
        <w:spacing w:after="0" w:line="240" w:lineRule="auto"/>
        <w:ind w:firstLine="720"/>
        <w:jc w:val="both"/>
        <w:rPr>
          <w:rFonts w:ascii="Times New Roman" w:hAnsi="Times New Roman" w:cs="Times New Roman"/>
          <w:b/>
          <w:sz w:val="28"/>
          <w:szCs w:val="28"/>
        </w:rPr>
      </w:pPr>
    </w:p>
    <w:p w:rsidR="00A853F5" w:rsidRPr="00A05918" w:rsidRDefault="00A853F5" w:rsidP="0072394C">
      <w:pPr>
        <w:spacing w:after="0" w:line="240" w:lineRule="auto"/>
        <w:jc w:val="center"/>
        <w:rPr>
          <w:rFonts w:ascii="Times New Roman" w:hAnsi="Times New Roman" w:cs="Times New Roman"/>
          <w:b/>
          <w:sz w:val="28"/>
          <w:szCs w:val="28"/>
        </w:rPr>
      </w:pPr>
      <w:r w:rsidRPr="00A05918">
        <w:rPr>
          <w:rFonts w:ascii="Times New Roman" w:hAnsi="Times New Roman" w:cs="Times New Roman"/>
          <w:b/>
          <w:sz w:val="28"/>
          <w:szCs w:val="28"/>
        </w:rPr>
        <w:t>Capitolul 3.</w:t>
      </w:r>
      <w:r w:rsidR="00A05918">
        <w:rPr>
          <w:rFonts w:ascii="Times New Roman" w:hAnsi="Times New Roman" w:cs="Times New Roman"/>
          <w:b/>
          <w:sz w:val="28"/>
          <w:szCs w:val="28"/>
        </w:rPr>
        <w:t xml:space="preserve"> </w:t>
      </w:r>
      <w:r w:rsidRPr="00A05918">
        <w:rPr>
          <w:rFonts w:ascii="Times New Roman" w:hAnsi="Times New Roman" w:cs="Times New Roman"/>
          <w:b/>
          <w:sz w:val="28"/>
          <w:szCs w:val="28"/>
        </w:rPr>
        <w:t>Auditul administrativ</w:t>
      </w:r>
    </w:p>
    <w:p w:rsidR="00A853F5" w:rsidRPr="00A853F5" w:rsidRDefault="00A853F5" w:rsidP="00A853F5">
      <w:pPr>
        <w:spacing w:after="0" w:line="240" w:lineRule="auto"/>
        <w:ind w:firstLine="720"/>
        <w:jc w:val="both"/>
        <w:rPr>
          <w:rFonts w:ascii="Times New Roman" w:hAnsi="Times New Roman" w:cs="Times New Roman"/>
          <w:sz w:val="32"/>
          <w:szCs w:val="32"/>
        </w:rPr>
      </w:pPr>
      <w:r w:rsidRPr="00A853F5">
        <w:rPr>
          <w:rFonts w:ascii="Times New Roman" w:hAnsi="Times New Roman" w:cs="Times New Roman"/>
          <w:sz w:val="32"/>
          <w:szCs w:val="32"/>
        </w:rPr>
        <w:t xml:space="preserve"> </w:t>
      </w:r>
    </w:p>
    <w:p w:rsidR="00A853F5" w:rsidRPr="00F03FC8" w:rsidRDefault="00A853F5" w:rsidP="00A853F5">
      <w:pPr>
        <w:spacing w:after="0" w:line="240" w:lineRule="auto"/>
        <w:ind w:firstLine="720"/>
        <w:jc w:val="both"/>
        <w:rPr>
          <w:rFonts w:ascii="Times New Roman" w:hAnsi="Times New Roman" w:cs="Times New Roman"/>
          <w:sz w:val="24"/>
          <w:szCs w:val="24"/>
        </w:rPr>
      </w:pPr>
      <w:r w:rsidRPr="00F03FC8">
        <w:rPr>
          <w:rFonts w:ascii="Times New Roman" w:hAnsi="Times New Roman" w:cs="Times New Roman"/>
          <w:color w:val="000000"/>
          <w:sz w:val="24"/>
          <w:szCs w:val="24"/>
        </w:rPr>
        <w:t xml:space="preserve">Administraţia publică în unităţile administrativ-teritoriale din PC se organizează şi funcţionează în temeiul principiilor autonomiei locale, descentralizării serviciilor publice, eligibilităţii autorităţilor administraţiei publice locale, legalităţii şi al consultării cetăţenilor în soluţionarea problemelor locale de interes deosebit. </w:t>
      </w:r>
      <w:r w:rsidRPr="00F03FC8">
        <w:rPr>
          <w:rFonts w:ascii="Times New Roman" w:hAnsi="Times New Roman" w:cs="Times New Roman"/>
          <w:sz w:val="24"/>
          <w:szCs w:val="24"/>
        </w:rPr>
        <w:t>Structura organizatorică a administraţiilor publice locale reprezintă formalizarea şi repartizarea misiunilor şi funcţiilor între diferite subansamble (Direcţii, Departamente, Servicii, Birouri, etc.) definite cu această ocazie, precum şi relaţiile stabilite între subansamblele în cauză. Organigrama este reprezentarea vizuală a structurii organizatorice.</w:t>
      </w:r>
    </w:p>
    <w:p w:rsidR="00A853F5" w:rsidRPr="00F03FC8" w:rsidRDefault="00A853F5" w:rsidP="00A853F5">
      <w:pPr>
        <w:spacing w:after="0" w:line="240" w:lineRule="auto"/>
        <w:ind w:firstLine="720"/>
        <w:jc w:val="both"/>
        <w:rPr>
          <w:rFonts w:ascii="Times New Roman" w:hAnsi="Times New Roman" w:cs="Times New Roman"/>
          <w:sz w:val="24"/>
          <w:szCs w:val="24"/>
        </w:rPr>
      </w:pPr>
      <w:r w:rsidRPr="00F03FC8">
        <w:rPr>
          <w:rFonts w:ascii="Times New Roman" w:hAnsi="Times New Roman" w:cs="Times New Roman"/>
          <w:sz w:val="24"/>
          <w:szCs w:val="24"/>
        </w:rPr>
        <w:t>Primarul, viceprimarul (viceprimarii), secretarul</w:t>
      </w:r>
      <w:r w:rsidR="00642C4F" w:rsidRPr="00F03FC8">
        <w:rPr>
          <w:rFonts w:ascii="Times New Roman" w:hAnsi="Times New Roman" w:cs="Times New Roman"/>
          <w:sz w:val="24"/>
          <w:szCs w:val="24"/>
        </w:rPr>
        <w:t>,</w:t>
      </w:r>
      <w:r w:rsidRPr="00F03FC8">
        <w:rPr>
          <w:rFonts w:ascii="Times New Roman" w:hAnsi="Times New Roman" w:cs="Times New Roman"/>
          <w:sz w:val="24"/>
          <w:szCs w:val="24"/>
        </w:rPr>
        <w:t xml:space="preserve"> împreună cu aparatul de specialitate al primarului, constituie o structură funcţională cu activitate permanentă, denumită </w:t>
      </w:r>
      <w:r w:rsidRPr="00F03FC8">
        <w:rPr>
          <w:rFonts w:ascii="Times New Roman" w:hAnsi="Times New Roman" w:cs="Times New Roman"/>
          <w:b/>
          <w:bCs/>
          <w:i/>
          <w:iCs/>
          <w:sz w:val="24"/>
          <w:szCs w:val="24"/>
        </w:rPr>
        <w:t>Primăria</w:t>
      </w:r>
      <w:r w:rsidRPr="00F03FC8">
        <w:rPr>
          <w:rFonts w:ascii="Times New Roman" w:hAnsi="Times New Roman" w:cs="Times New Roman"/>
          <w:sz w:val="24"/>
          <w:szCs w:val="24"/>
        </w:rPr>
        <w:t>, care duce la îndeplinire hotărârile Consiliului Local şi dispoziţiile primarului, soluţionând problemele curente ale colectivităţii locale. Misiunea sau scopul Primăriei rezidă deci în soluţionarea şi gestionarea, în numele şi în interesul colectivităţii locale pe care o reprezintă, a treburilor publice, în condiţiile legii.</w:t>
      </w:r>
    </w:p>
    <w:p w:rsidR="00A853F5" w:rsidRPr="00F03FC8" w:rsidRDefault="00A853F5" w:rsidP="00A853F5">
      <w:pPr>
        <w:autoSpaceDE w:val="0"/>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În administraţia publică locală, primarul îndeplineşte o funcţie de autoritate publică. El este şeful administraţiei publice locale şi al aparatului de specialitate al autorităţii administraţiei publice locale, pe care îl conduce şi îl controlează. Primarul răspunde de buna funcţionare a administraţiei publice locale, în condiţiile legii şi reprezintă unitatea administrativ-teritorială în relaţiile cu alte autorităţi publice, cu persoanele fizice sau juridice române sau străine, precum şi în justiţie.</w:t>
      </w:r>
    </w:p>
    <w:p w:rsidR="00A853F5" w:rsidRPr="00F03FC8" w:rsidRDefault="00A853F5" w:rsidP="00A853F5">
      <w:pPr>
        <w:autoSpaceDE w:val="0"/>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În exercitarea atribuţiilor sale, primarul emite dispoziţii cu caracter normativ sau individual. Acestea devin executorii numai după ce sunt aduse la cunoştinţa publică sau după ce au fost comunicate persoanelor interesate, după caz.</w:t>
      </w:r>
    </w:p>
    <w:p w:rsidR="00A853F5" w:rsidRPr="00F03FC8" w:rsidRDefault="00A853F5" w:rsidP="00A853F5">
      <w:pPr>
        <w:autoSpaceDE w:val="0"/>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În calitate de reprezentant al statului, primarul poate solicita, inclusiv prin intermediul prefectului, în condiţiile legii, sprijinul conducătorilor serviciilor publice deconcentrate ale ministerelor şi ale celorlaltor organe de specialitate ale administraţiei publice centrale, dacă sarcinile ce îi revin nu pot fi rezolvate prin aparatul de specialitate.</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Primarul este răspunzător de asigurarea ordinii publice şi liniştii locuitorilor, prin intermediul poliţiei, jandarmeriei, gardienilor publici, pompierilor şi unităţilor de protecţie civilă, care au obligaţia să răspundă solicitărilor sale, în condiţiile legii. În acest sens, el va lua măsuri de interzicere sau de suspendare a spectacolelor, reprezentaţiilor sau a altor manifestări publice care contravin ordinii de drept ori atentează la bunele moravuri, la ordinea şi liniştea publică. </w:t>
      </w:r>
    </w:p>
    <w:p w:rsidR="00A853F5" w:rsidRPr="00F03FC8" w:rsidRDefault="00D773C7"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caps/>
          <w:sz w:val="24"/>
          <w:szCs w:val="24"/>
          <w:lang w:val="fr-FR"/>
        </w:rPr>
        <w:t>Î</w:t>
      </w:r>
      <w:r w:rsidR="00A853F5" w:rsidRPr="00F03FC8">
        <w:rPr>
          <w:rFonts w:ascii="Times New Roman" w:hAnsi="Times New Roman" w:cs="Times New Roman"/>
          <w:sz w:val="24"/>
          <w:szCs w:val="24"/>
          <w:lang w:val="fr-FR"/>
        </w:rPr>
        <w:t>n municipiul Timişoara, administraţia publică este organizată şi funcţionează potrivit prevederilor Legii administraţiei publice locale nr. 215/2001 şi în conformitate cu hotărârile Consiliului Local al Municipiului Timişoara privind aprobarea organigramei şi numărului de posturi ale aparatului propriu de specialitate. Municipiul Timişoara are un primar şi 2 viceprimari, aleşi în condiţiile legii pe o perioadă de 4 ani.</w:t>
      </w:r>
    </w:p>
    <w:p w:rsidR="00D773C7" w:rsidRPr="00F03FC8" w:rsidRDefault="00D773C7" w:rsidP="00D773C7">
      <w:pPr>
        <w:spacing w:after="0" w:line="240" w:lineRule="auto"/>
        <w:ind w:firstLine="720"/>
        <w:jc w:val="both"/>
        <w:rPr>
          <w:rFonts w:ascii="Times New Roman" w:hAnsi="Times New Roman"/>
          <w:sz w:val="24"/>
          <w:szCs w:val="24"/>
          <w:lang w:val="fr-FR"/>
        </w:rPr>
      </w:pPr>
      <w:r w:rsidRPr="00F03FC8">
        <w:rPr>
          <w:rFonts w:ascii="Times New Roman" w:hAnsi="Times New Roman"/>
          <w:sz w:val="24"/>
          <w:szCs w:val="24"/>
          <w:lang w:val="fr-FR"/>
        </w:rPr>
        <w:t xml:space="preserve">Structura organizatorică a Primăriei Municipiului Timişoara cuprinde opt direcţii, având în subordine mai multe servicii, birouri şi compartimente. Direcţiile, serviciile, birourile şi compartimentele care intră în alcătuirea aparatului de specialitate al Primarului Municipiului Timişoara sunt următoarele: </w:t>
      </w:r>
      <w:r w:rsidRPr="00F03FC8">
        <w:rPr>
          <w:rFonts w:ascii="Times New Roman" w:hAnsi="Times New Roman"/>
          <w:b/>
          <w:sz w:val="24"/>
          <w:szCs w:val="24"/>
          <w:lang w:val="fr-FR"/>
        </w:rPr>
        <w:t>Direcţia Secretariat General</w:t>
      </w:r>
      <w:r w:rsidRPr="00F03FC8">
        <w:rPr>
          <w:rFonts w:ascii="Times New Roman" w:hAnsi="Times New Roman"/>
          <w:sz w:val="24"/>
          <w:szCs w:val="24"/>
          <w:lang w:val="fr-FR"/>
        </w:rPr>
        <w:t xml:space="preserve">; </w:t>
      </w:r>
      <w:r w:rsidRPr="00F03FC8">
        <w:rPr>
          <w:rFonts w:ascii="Times New Roman" w:hAnsi="Times New Roman"/>
          <w:b/>
          <w:bCs/>
          <w:sz w:val="24"/>
          <w:szCs w:val="24"/>
          <w:lang w:val="fr-FR"/>
        </w:rPr>
        <w:t>Direcţia de Mediu</w:t>
      </w:r>
      <w:r w:rsidRPr="00F03FC8">
        <w:rPr>
          <w:rFonts w:ascii="Times New Roman" w:hAnsi="Times New Roman"/>
          <w:sz w:val="24"/>
          <w:szCs w:val="24"/>
          <w:lang w:val="fr-FR"/>
        </w:rPr>
        <w:t xml:space="preserve">; </w:t>
      </w:r>
      <w:r w:rsidRPr="00F03FC8">
        <w:rPr>
          <w:rFonts w:ascii="Times New Roman" w:hAnsi="Times New Roman"/>
          <w:b/>
          <w:bCs/>
          <w:sz w:val="24"/>
          <w:szCs w:val="24"/>
          <w:lang w:val="fr-FR"/>
        </w:rPr>
        <w:t>Direcţia Clădiri, Terenuri şi Dotări Diverse</w:t>
      </w:r>
      <w:r w:rsidRPr="00F03FC8">
        <w:rPr>
          <w:rFonts w:ascii="Times New Roman" w:hAnsi="Times New Roman"/>
          <w:sz w:val="24"/>
          <w:szCs w:val="24"/>
          <w:lang w:val="fr-FR"/>
        </w:rPr>
        <w:t xml:space="preserve">; </w:t>
      </w:r>
      <w:r w:rsidRPr="00F03FC8">
        <w:rPr>
          <w:rFonts w:ascii="Times New Roman" w:hAnsi="Times New Roman"/>
          <w:b/>
          <w:sz w:val="24"/>
          <w:szCs w:val="24"/>
          <w:lang w:val="fr-FR"/>
        </w:rPr>
        <w:t>Direcţia Tehnică</w:t>
      </w:r>
      <w:r w:rsidRPr="00F03FC8">
        <w:rPr>
          <w:rFonts w:ascii="Times New Roman" w:hAnsi="Times New Roman"/>
          <w:sz w:val="24"/>
          <w:szCs w:val="24"/>
          <w:lang w:val="fr-FR"/>
        </w:rPr>
        <w:t xml:space="preserve">; </w:t>
      </w:r>
      <w:r w:rsidRPr="00F03FC8">
        <w:rPr>
          <w:rFonts w:ascii="Times New Roman" w:hAnsi="Times New Roman"/>
          <w:b/>
          <w:bCs/>
          <w:sz w:val="24"/>
          <w:szCs w:val="24"/>
          <w:lang w:val="fr-FR"/>
        </w:rPr>
        <w:t>Direcţia Economică</w:t>
      </w:r>
      <w:r w:rsidRPr="00F03FC8">
        <w:rPr>
          <w:rFonts w:ascii="Times New Roman" w:hAnsi="Times New Roman"/>
          <w:sz w:val="24"/>
          <w:szCs w:val="24"/>
          <w:lang w:val="fr-FR"/>
        </w:rPr>
        <w:t xml:space="preserve">; </w:t>
      </w:r>
      <w:r w:rsidRPr="00F03FC8">
        <w:rPr>
          <w:rFonts w:ascii="Times New Roman" w:hAnsi="Times New Roman"/>
          <w:b/>
          <w:sz w:val="24"/>
          <w:szCs w:val="24"/>
          <w:lang w:val="fr-FR"/>
        </w:rPr>
        <w:t xml:space="preserve">Direcţia </w:t>
      </w:r>
      <w:r w:rsidRPr="00F03FC8">
        <w:rPr>
          <w:rFonts w:ascii="Times New Roman" w:hAnsi="Times New Roman"/>
          <w:b/>
          <w:sz w:val="24"/>
          <w:szCs w:val="24"/>
          <w:lang w:val="fr-FR"/>
        </w:rPr>
        <w:lastRenderedPageBreak/>
        <w:t>Urbanism</w:t>
      </w:r>
      <w:r w:rsidRPr="00F03FC8">
        <w:rPr>
          <w:rFonts w:ascii="Times New Roman" w:hAnsi="Times New Roman"/>
          <w:sz w:val="24"/>
          <w:szCs w:val="24"/>
          <w:lang w:val="fr-FR"/>
        </w:rPr>
        <w:t xml:space="preserve">; </w:t>
      </w:r>
      <w:r w:rsidRPr="00F03FC8">
        <w:rPr>
          <w:rFonts w:ascii="Times New Roman" w:hAnsi="Times New Roman"/>
          <w:b/>
          <w:bCs/>
          <w:sz w:val="24"/>
          <w:szCs w:val="24"/>
          <w:lang w:val="fr-FR"/>
        </w:rPr>
        <w:t>Direcţia Dezvoltare</w:t>
      </w:r>
      <w:r w:rsidRPr="00F03FC8">
        <w:rPr>
          <w:rFonts w:ascii="Times New Roman" w:hAnsi="Times New Roman"/>
          <w:sz w:val="24"/>
          <w:szCs w:val="24"/>
          <w:lang w:val="fr-FR"/>
        </w:rPr>
        <w:t xml:space="preserve">; </w:t>
      </w:r>
      <w:r w:rsidRPr="00F03FC8">
        <w:rPr>
          <w:rFonts w:ascii="Times New Roman" w:hAnsi="Times New Roman"/>
          <w:b/>
          <w:bCs/>
          <w:sz w:val="24"/>
          <w:szCs w:val="24"/>
          <w:lang w:val="fr-FR"/>
        </w:rPr>
        <w:t>Direcţia Comunicare</w:t>
      </w:r>
      <w:r w:rsidRPr="00F03FC8">
        <w:rPr>
          <w:rFonts w:ascii="Times New Roman" w:hAnsi="Times New Roman"/>
          <w:sz w:val="24"/>
          <w:szCs w:val="24"/>
          <w:lang w:val="fr-FR"/>
        </w:rPr>
        <w:t xml:space="preserve">. Numărul total de posturi din aparatul de specialitate al Primarului este de 574, din care 3 funcții de demnitate publică, 53 funcții de conducere și 518 de execuție. </w:t>
      </w:r>
    </w:p>
    <w:p w:rsidR="00A853F5" w:rsidRPr="00F03FC8" w:rsidRDefault="00D773C7" w:rsidP="00A853F5">
      <w:pPr>
        <w:spacing w:after="0" w:line="240" w:lineRule="auto"/>
        <w:ind w:firstLine="720"/>
        <w:jc w:val="both"/>
        <w:rPr>
          <w:rFonts w:ascii="Times New Roman" w:hAnsi="Times New Roman" w:cs="Times New Roman"/>
          <w:b/>
          <w:bCs/>
          <w:sz w:val="24"/>
          <w:szCs w:val="24"/>
          <w:lang w:val="fr-FR"/>
        </w:rPr>
      </w:pPr>
      <w:r w:rsidRPr="00F03FC8">
        <w:rPr>
          <w:rFonts w:ascii="Times New Roman" w:hAnsi="Times New Roman" w:cs="Times New Roman"/>
          <w:sz w:val="24"/>
          <w:szCs w:val="24"/>
          <w:lang w:val="fr-FR"/>
        </w:rPr>
        <w:t>Pe lângă acestea</w:t>
      </w:r>
      <w:r w:rsidR="00A853F5" w:rsidRPr="00F03FC8">
        <w:rPr>
          <w:rFonts w:ascii="Times New Roman" w:hAnsi="Times New Roman" w:cs="Times New Roman"/>
          <w:sz w:val="24"/>
          <w:szCs w:val="24"/>
          <w:lang w:val="fr-FR"/>
        </w:rPr>
        <w:t>, sub autoritatea Primarului Municipiului Timişoara îşi desfăşoară activitat</w:t>
      </w:r>
      <w:r w:rsidRPr="00F03FC8">
        <w:rPr>
          <w:rFonts w:ascii="Times New Roman" w:hAnsi="Times New Roman" w:cs="Times New Roman"/>
          <w:sz w:val="24"/>
          <w:szCs w:val="24"/>
          <w:lang w:val="fr-FR"/>
        </w:rPr>
        <w:t>ea</w:t>
      </w:r>
      <w:r w:rsidR="00A853F5" w:rsidRPr="00F03FC8">
        <w:rPr>
          <w:rFonts w:ascii="Times New Roman" w:hAnsi="Times New Roman" w:cs="Times New Roman"/>
          <w:sz w:val="24"/>
          <w:szCs w:val="24"/>
          <w:lang w:val="fr-FR"/>
        </w:rPr>
        <w:t xml:space="preserve"> şi alte instituţii şi servicii publice cu personalitate juridică: </w:t>
      </w:r>
      <w:r w:rsidR="00A853F5" w:rsidRPr="00F03FC8">
        <w:rPr>
          <w:rStyle w:val="Strong"/>
          <w:rFonts w:ascii="Times New Roman" w:hAnsi="Times New Roman" w:cs="Times New Roman"/>
          <w:b w:val="0"/>
          <w:sz w:val="24"/>
          <w:szCs w:val="24"/>
          <w:lang w:val="fr-FR"/>
        </w:rPr>
        <w:t xml:space="preserve">Direcţia Fiscală, </w:t>
      </w:r>
      <w:r w:rsidR="00A853F5" w:rsidRPr="00F03FC8">
        <w:rPr>
          <w:rFonts w:ascii="Times New Roman" w:hAnsi="Times New Roman" w:cs="Times New Roman"/>
          <w:bCs/>
          <w:sz w:val="24"/>
          <w:szCs w:val="24"/>
          <w:lang w:val="fr-FR"/>
        </w:rPr>
        <w:t>Direcţia Poliţia Locală,</w:t>
      </w:r>
      <w:r w:rsidR="00A853F5" w:rsidRPr="00F03FC8">
        <w:rPr>
          <w:rFonts w:ascii="Times New Roman" w:hAnsi="Times New Roman" w:cs="Times New Roman"/>
          <w:b/>
          <w:bCs/>
          <w:sz w:val="24"/>
          <w:szCs w:val="24"/>
          <w:lang w:val="fr-FR"/>
        </w:rPr>
        <w:t xml:space="preserve"> </w:t>
      </w:r>
      <w:r w:rsidR="00A853F5" w:rsidRPr="00F03FC8">
        <w:rPr>
          <w:rStyle w:val="Strong"/>
          <w:rFonts w:ascii="Times New Roman" w:hAnsi="Times New Roman" w:cs="Times New Roman"/>
          <w:b w:val="0"/>
          <w:sz w:val="24"/>
          <w:szCs w:val="24"/>
          <w:lang w:val="fr-FR"/>
        </w:rPr>
        <w:t xml:space="preserve"> Direcţia de Evidenţa Persoanei</w:t>
      </w:r>
      <w:r w:rsidR="00A853F5" w:rsidRPr="00F03FC8">
        <w:rPr>
          <w:rFonts w:ascii="Times New Roman" w:hAnsi="Times New Roman" w:cs="Times New Roman"/>
          <w:b/>
          <w:bCs/>
          <w:sz w:val="24"/>
          <w:szCs w:val="24"/>
          <w:lang w:val="fr-FR"/>
        </w:rPr>
        <w:t xml:space="preserve">, </w:t>
      </w:r>
      <w:r w:rsidR="00A853F5" w:rsidRPr="00F03FC8">
        <w:rPr>
          <w:rStyle w:val="Strong"/>
          <w:rFonts w:ascii="Times New Roman" w:hAnsi="Times New Roman" w:cs="Times New Roman"/>
          <w:b w:val="0"/>
          <w:sz w:val="24"/>
          <w:szCs w:val="24"/>
          <w:lang w:val="fr-FR"/>
        </w:rPr>
        <w:t>Direcţia de Asistenţă Socială,</w:t>
      </w:r>
      <w:r w:rsidR="00A853F5" w:rsidRPr="00F03FC8">
        <w:rPr>
          <w:rFonts w:ascii="Times New Roman" w:hAnsi="Times New Roman" w:cs="Times New Roman"/>
          <w:b/>
          <w:bCs/>
          <w:sz w:val="24"/>
          <w:szCs w:val="24"/>
          <w:lang w:val="fr-FR"/>
        </w:rPr>
        <w:t xml:space="preserve"> </w:t>
      </w:r>
      <w:r w:rsidR="00A853F5" w:rsidRPr="00F03FC8">
        <w:rPr>
          <w:rStyle w:val="Strong"/>
          <w:rFonts w:ascii="Times New Roman" w:hAnsi="Times New Roman" w:cs="Times New Roman"/>
          <w:b w:val="0"/>
          <w:sz w:val="24"/>
          <w:szCs w:val="24"/>
          <w:lang w:val="fr-FR"/>
        </w:rPr>
        <w:t>Căminul Pentru Pensionari,</w:t>
      </w:r>
      <w:r w:rsidR="00A853F5" w:rsidRPr="00F03FC8">
        <w:rPr>
          <w:rFonts w:ascii="Times New Roman" w:hAnsi="Times New Roman" w:cs="Times New Roman"/>
          <w:b/>
          <w:bCs/>
          <w:sz w:val="24"/>
          <w:szCs w:val="24"/>
          <w:lang w:val="fr-FR"/>
        </w:rPr>
        <w:t xml:space="preserve"> </w:t>
      </w:r>
      <w:r w:rsidR="00A853F5" w:rsidRPr="00F03FC8">
        <w:rPr>
          <w:rStyle w:val="Strong"/>
          <w:rFonts w:ascii="Times New Roman" w:hAnsi="Times New Roman" w:cs="Times New Roman"/>
          <w:b w:val="0"/>
          <w:sz w:val="24"/>
          <w:szCs w:val="24"/>
          <w:lang w:val="fr-FR"/>
        </w:rPr>
        <w:t xml:space="preserve">Serviciul Protecţia Copilului şi Familiei, </w:t>
      </w:r>
      <w:r w:rsidR="00A853F5" w:rsidRPr="00F03FC8">
        <w:rPr>
          <w:rFonts w:ascii="Times New Roman" w:hAnsi="Times New Roman" w:cs="Times New Roman"/>
          <w:bCs/>
          <w:sz w:val="24"/>
          <w:szCs w:val="24"/>
          <w:lang w:val="fr-FR"/>
        </w:rPr>
        <w:t xml:space="preserve">Serviciul Protecţia Persoanelor cu Handicap, </w:t>
      </w:r>
      <w:r w:rsidR="00A853F5" w:rsidRPr="00F03FC8">
        <w:rPr>
          <w:rStyle w:val="Strong"/>
          <w:rFonts w:ascii="Times New Roman" w:hAnsi="Times New Roman" w:cs="Times New Roman"/>
          <w:b w:val="0"/>
          <w:sz w:val="24"/>
          <w:szCs w:val="24"/>
          <w:lang w:val="fr-FR"/>
        </w:rPr>
        <w:t>Cantina de Ajutor Social</w:t>
      </w:r>
      <w:r w:rsidR="00A853F5" w:rsidRPr="00F03FC8">
        <w:rPr>
          <w:rStyle w:val="Strong"/>
          <w:rFonts w:ascii="Times New Roman" w:hAnsi="Times New Roman" w:cs="Times New Roman"/>
          <w:sz w:val="24"/>
          <w:szCs w:val="24"/>
          <w:lang w:val="fr-FR"/>
        </w:rPr>
        <w:t xml:space="preserve">, </w:t>
      </w:r>
      <w:r w:rsidR="00A853F5" w:rsidRPr="00F03FC8">
        <w:rPr>
          <w:rFonts w:ascii="Times New Roman" w:hAnsi="Times New Roman" w:cs="Times New Roman"/>
          <w:bCs/>
          <w:sz w:val="24"/>
          <w:szCs w:val="24"/>
          <w:lang w:val="fr-FR"/>
        </w:rPr>
        <w:t>Centrul de Zi "Pentru Voi”, Serviciul Public de Asistenţă Medicală Şcolară, Spitalul Clinic Municipal de Urgenţă, Spitalul Clinic de Urgenţă Pentru Copii "Luis Ţurcanu", Spitalul de Boli Infecţioase şi Pneumoftiziologie "Victor Babeş", Casa de Cultură a Municipiului Timişoara, Teatrul Maghiar de Stat "Csiki Gergely", Teatrul German de Stat Timişoara, Filarmonica "Banatul"Timişoara.</w:t>
      </w:r>
    </w:p>
    <w:p w:rsidR="00A853F5" w:rsidRPr="00F03FC8" w:rsidRDefault="00A853F5" w:rsidP="00A853F5">
      <w:pPr>
        <w:spacing w:after="0" w:line="240" w:lineRule="auto"/>
        <w:ind w:firstLine="720"/>
        <w:jc w:val="both"/>
        <w:rPr>
          <w:rFonts w:ascii="Times New Roman" w:hAnsi="Times New Roman" w:cs="Times New Roman"/>
          <w:bCs/>
          <w:sz w:val="24"/>
          <w:szCs w:val="24"/>
          <w:lang w:val="fr-FR"/>
        </w:rPr>
      </w:pPr>
      <w:r w:rsidRPr="00F03FC8">
        <w:rPr>
          <w:rFonts w:ascii="Times New Roman" w:hAnsi="Times New Roman" w:cs="Times New Roman"/>
          <w:bCs/>
          <w:sz w:val="24"/>
          <w:szCs w:val="24"/>
          <w:lang w:val="fr-FR"/>
        </w:rPr>
        <w:t xml:space="preserve">Structura organizatorică a administraţiei publice </w:t>
      </w:r>
      <w:r w:rsidRPr="00F03FC8">
        <w:rPr>
          <w:rFonts w:ascii="Times New Roman" w:hAnsi="Times New Roman" w:cs="Times New Roman"/>
          <w:b/>
          <w:bCs/>
          <w:sz w:val="24"/>
          <w:szCs w:val="24"/>
          <w:lang w:val="fr-FR"/>
        </w:rPr>
        <w:t>în comunele din arealul de influenţă</w:t>
      </w:r>
      <w:r w:rsidRPr="00F03FC8">
        <w:rPr>
          <w:rFonts w:ascii="Times New Roman" w:hAnsi="Times New Roman" w:cs="Times New Roman"/>
          <w:bCs/>
          <w:sz w:val="24"/>
          <w:szCs w:val="24"/>
          <w:lang w:val="fr-FR"/>
        </w:rPr>
        <w:t xml:space="preserve"> nu este atât de complexă, având în vedere numărul mult mai mic</w:t>
      </w:r>
      <w:r w:rsidR="00D773C7" w:rsidRPr="00F03FC8">
        <w:rPr>
          <w:rFonts w:ascii="Times New Roman" w:hAnsi="Times New Roman" w:cs="Times New Roman"/>
          <w:bCs/>
          <w:sz w:val="24"/>
          <w:szCs w:val="24"/>
          <w:lang w:val="fr-FR"/>
        </w:rPr>
        <w:t xml:space="preserve"> al locuitorilor precum şi amploarea redusă a</w:t>
      </w:r>
      <w:r w:rsidRPr="00F03FC8">
        <w:rPr>
          <w:rFonts w:ascii="Times New Roman" w:hAnsi="Times New Roman" w:cs="Times New Roman"/>
          <w:bCs/>
          <w:sz w:val="24"/>
          <w:szCs w:val="24"/>
          <w:lang w:val="fr-FR"/>
        </w:rPr>
        <w:t xml:space="preserve"> unor utilităţi. </w:t>
      </w:r>
    </w:p>
    <w:p w:rsidR="00A853F5" w:rsidRPr="00F03FC8" w:rsidRDefault="00A853F5" w:rsidP="00A853F5">
      <w:pPr>
        <w:spacing w:after="0" w:line="240" w:lineRule="auto"/>
        <w:ind w:firstLine="720"/>
        <w:jc w:val="both"/>
        <w:rPr>
          <w:rFonts w:ascii="Times New Roman" w:hAnsi="Times New Roman" w:cs="Times New Roman"/>
          <w:bCs/>
          <w:sz w:val="24"/>
          <w:szCs w:val="24"/>
          <w:lang w:val="fr-FR"/>
        </w:rPr>
      </w:pPr>
      <w:r w:rsidRPr="00F03FC8">
        <w:rPr>
          <w:rFonts w:ascii="Times New Roman" w:hAnsi="Times New Roman" w:cs="Times New Roman"/>
          <w:bCs/>
          <w:sz w:val="24"/>
          <w:szCs w:val="24"/>
          <w:lang w:val="fr-FR"/>
        </w:rPr>
        <w:t xml:space="preserve">Astfel, înfiinţarea unor direcţii nu este necesară, iar în unele cazuri serviciile oferite de acestea sunt înlocuite de o singură persoană (de exemplu, Direcţia Dezvoltare este înlocuită de un </w:t>
      </w:r>
      <w:r w:rsidRPr="00F03FC8">
        <w:rPr>
          <w:rFonts w:ascii="Times New Roman" w:hAnsi="Times New Roman" w:cs="Times New Roman"/>
          <w:bCs/>
          <w:i/>
          <w:sz w:val="24"/>
          <w:szCs w:val="24"/>
          <w:lang w:val="fr-FR"/>
        </w:rPr>
        <w:t>promotor local</w:t>
      </w:r>
      <w:r w:rsidRPr="00F03FC8">
        <w:rPr>
          <w:rFonts w:ascii="Times New Roman" w:hAnsi="Times New Roman" w:cs="Times New Roman"/>
          <w:bCs/>
          <w:sz w:val="24"/>
          <w:szCs w:val="24"/>
          <w:lang w:val="fr-FR"/>
        </w:rPr>
        <w:t xml:space="preserve">, Direcţia Comunicare de un </w:t>
      </w:r>
      <w:r w:rsidRPr="00F03FC8">
        <w:rPr>
          <w:rFonts w:ascii="Times New Roman" w:hAnsi="Times New Roman" w:cs="Times New Roman"/>
          <w:bCs/>
          <w:i/>
          <w:sz w:val="24"/>
          <w:szCs w:val="24"/>
          <w:lang w:val="fr-FR"/>
        </w:rPr>
        <w:t>purtător de cuvânt</w:t>
      </w:r>
      <w:r w:rsidRPr="00F03FC8">
        <w:rPr>
          <w:rFonts w:ascii="Times New Roman" w:hAnsi="Times New Roman" w:cs="Times New Roman"/>
          <w:bCs/>
          <w:sz w:val="24"/>
          <w:szCs w:val="24"/>
          <w:lang w:val="fr-FR"/>
        </w:rPr>
        <w:t>, serviciile de transport public local sau de furnizare a energiei termice nu există etc.).</w:t>
      </w:r>
    </w:p>
    <w:p w:rsidR="00A853F5" w:rsidRPr="00F03FC8" w:rsidRDefault="00A853F5" w:rsidP="00A853F5">
      <w:pPr>
        <w:spacing w:after="0" w:line="240" w:lineRule="auto"/>
        <w:ind w:firstLine="720"/>
        <w:jc w:val="both"/>
        <w:rPr>
          <w:rFonts w:ascii="Times New Roman" w:hAnsi="Times New Roman" w:cs="Times New Roman"/>
          <w:sz w:val="24"/>
          <w:szCs w:val="24"/>
        </w:rPr>
      </w:pPr>
      <w:r w:rsidRPr="00F03FC8">
        <w:rPr>
          <w:rFonts w:ascii="Times New Roman" w:hAnsi="Times New Roman" w:cs="Times New Roman"/>
          <w:sz w:val="24"/>
          <w:szCs w:val="24"/>
        </w:rPr>
        <w:t>Principalele domenii aflate sub administrarea autorităţilor publice locale sunt:</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planificarea urbană şi gestionarea spaţiilor verzi de interes local;</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conservarea, restaurarea şi punerea în valoare a monumentelor istorice şi de arhitectură, a parcurilor, grădinilor publice şi rezervaţiilor naturale</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punerea în valoare, în interesul comunităţii locale, a resurselor naturale de pe raza unităţii administrativ-teritoriale;</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colectarea şi gestionarea deşeurilor menajere, inclusiv salubrizarea şi întreţinerea terenurilor pentru depozitarea acestora;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distribuirea apei potabile, construirea şi întreţinerea sistemelor de canalizare şi de epurare a apelor uzate şi pluviale;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dezvoltarea şi gestionarea reţelelor urbane de distribuire a gazelor şi energiei termice;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construcţia, întreţinerea şi iluminarea străzilor şi drumurilor publice locale;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 transportul public local;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evidenţa persoanelor;</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amenajarea şi întreţinerea cimitirelor;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administrarea bunurilor din domeniile public şi privat locale;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componenta imobiliară şi baza materială a unităţilor şcolare de nivel primar, gimnazial şi liceal;</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construcţia, gestionarea, întreţinerea şi echiparea instituţiilor preşcolare şi extraşcolare;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componenta imobiliară</w:t>
      </w:r>
      <w:r w:rsidRPr="00F03FC8">
        <w:rPr>
          <w:rFonts w:ascii="Times New Roman" w:hAnsi="Times New Roman" w:cs="Times New Roman"/>
          <w:color w:val="FF0000"/>
          <w:sz w:val="24"/>
          <w:szCs w:val="24"/>
        </w:rPr>
        <w:t xml:space="preserve"> </w:t>
      </w:r>
      <w:r w:rsidRPr="00F03FC8">
        <w:rPr>
          <w:rFonts w:ascii="Times New Roman" w:hAnsi="Times New Roman" w:cs="Times New Roman"/>
          <w:sz w:val="24"/>
          <w:szCs w:val="24"/>
        </w:rPr>
        <w:t>şi baza materială a unor unităţi spitaliceşti şi sanitare;</w:t>
      </w:r>
    </w:p>
    <w:p w:rsidR="00A853F5" w:rsidRPr="00F03FC8" w:rsidRDefault="00A853F5" w:rsidP="00A853F5">
      <w:pPr>
        <w:numPr>
          <w:ilvl w:val="0"/>
          <w:numId w:val="1"/>
        </w:numPr>
        <w:suppressAutoHyphens/>
        <w:spacing w:after="0" w:line="240" w:lineRule="auto"/>
        <w:jc w:val="both"/>
        <w:rPr>
          <w:rFonts w:ascii="Times New Roman" w:hAnsi="Times New Roman" w:cs="Times New Roman"/>
          <w:color w:val="FF0000"/>
          <w:sz w:val="24"/>
          <w:szCs w:val="24"/>
        </w:rPr>
      </w:pPr>
      <w:r w:rsidRPr="00F03FC8">
        <w:rPr>
          <w:rFonts w:ascii="Times New Roman" w:hAnsi="Times New Roman" w:cs="Times New Roman"/>
          <w:sz w:val="24"/>
          <w:szCs w:val="24"/>
        </w:rPr>
        <w:t>serviciile sociale pentru protecţia copilului, a persoanelor cu handicap, a persoanelor vârstnice, a familiei şi a altor persoane sau grupuri aflate în nevoie socială;</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activităţi culturale, sportive, de recreere şi pentru tineret, precum şi planificarea, dezvoltarea şi gestionarea infrastructurilor necesare acestor tipuri de activităţi;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 xml:space="preserve">amenajarea pieţelor agricole, a spaţiilor comerciale, realizarea oricăror alte măsuri necesare pentru dezvoltarea economică a unităţii administrativ-teritoriale;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lastRenderedPageBreak/>
        <w:t xml:space="preserve">instituirea şi gestionarea întreprinderilor municipale şi organizarea oricărei alte activităţi necesare dezvoltării economice a unităţii administrativ-teritoriale; </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rPr>
      </w:pPr>
      <w:r w:rsidRPr="00F03FC8">
        <w:rPr>
          <w:rFonts w:ascii="Times New Roman" w:hAnsi="Times New Roman" w:cs="Times New Roman"/>
          <w:sz w:val="24"/>
          <w:szCs w:val="24"/>
        </w:rPr>
        <w:t>locuinţele sociale şi celelalte unităţi locative aflate în proprietatea unităţii administrativ-teritoriale sau în administrarea sa;</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activităţile de administraţie social-comunitară;</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situaţiile de urgenţă şi ordinea publică;</w:t>
      </w:r>
    </w:p>
    <w:p w:rsidR="00A853F5" w:rsidRPr="00F03FC8" w:rsidRDefault="00A853F5" w:rsidP="00A853F5">
      <w:pPr>
        <w:numPr>
          <w:ilvl w:val="0"/>
          <w:numId w:val="1"/>
        </w:numPr>
        <w:suppressAutoHyphens/>
        <w:spacing w:after="0" w:line="240" w:lineRule="auto"/>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serviciile de urgenţă de tip salvamont, salvamar şi de prim ajutor.</w:t>
      </w:r>
    </w:p>
    <w:p w:rsidR="00861954" w:rsidRPr="00861954" w:rsidRDefault="00861954" w:rsidP="0034222F">
      <w:pPr>
        <w:spacing w:after="0" w:line="240" w:lineRule="auto"/>
        <w:jc w:val="both"/>
        <w:rPr>
          <w:rFonts w:ascii="Times New Roman" w:hAnsi="Times New Roman" w:cs="Times New Roman"/>
          <w:sz w:val="24"/>
          <w:szCs w:val="24"/>
          <w:lang w:val="it-IT"/>
        </w:rPr>
      </w:pPr>
    </w:p>
    <w:p w:rsidR="00A853F5" w:rsidRPr="001C6255" w:rsidRDefault="00A853F5" w:rsidP="00A853F5">
      <w:pPr>
        <w:spacing w:after="0" w:line="240" w:lineRule="auto"/>
        <w:ind w:firstLine="720"/>
        <w:jc w:val="both"/>
        <w:rPr>
          <w:rFonts w:ascii="Times New Roman" w:hAnsi="Times New Roman" w:cs="Times New Roman"/>
          <w:sz w:val="24"/>
          <w:szCs w:val="24"/>
          <w:lang w:val="it-IT"/>
        </w:rPr>
      </w:pPr>
      <w:r w:rsidRPr="001C6255">
        <w:rPr>
          <w:rFonts w:ascii="Times New Roman" w:hAnsi="Times New Roman" w:cs="Times New Roman"/>
          <w:b/>
          <w:sz w:val="24"/>
          <w:szCs w:val="24"/>
          <w:lang w:val="it-IT"/>
        </w:rPr>
        <w:t>Descentralizarea şi autonomia locală</w:t>
      </w:r>
      <w:r w:rsidRPr="001C6255">
        <w:rPr>
          <w:rFonts w:ascii="Times New Roman" w:hAnsi="Times New Roman" w:cs="Times New Roman"/>
          <w:sz w:val="24"/>
          <w:szCs w:val="24"/>
          <w:lang w:val="it-IT"/>
        </w:rPr>
        <w:t xml:space="preserve"> reprezintă elemente constitutive ale oricărui stat democratic. Prin împărţirea puterii în stat între autorităţile centrale şi cele locale devine posibilă respectarea specificului şi a intereselor particulare ale judeţelor, oraşelor şi comunelor, iar cetăţenilor li se acordă posibilităţi sporite de a se manifesta pe plan politic, economic şi social. Administraţia locală, prin caracterul său descentralizat, trebuie să-şi delimiteze şi să-şi asume competenţele exercitate pe proprie răspundere, în favoarea şi la dispoziţia populaţiei.</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1C6255">
        <w:rPr>
          <w:rFonts w:ascii="Times New Roman" w:hAnsi="Times New Roman" w:cs="Times New Roman"/>
          <w:sz w:val="24"/>
          <w:szCs w:val="24"/>
          <w:lang w:val="it-IT"/>
        </w:rPr>
        <w:t>Descentralizarea administrativă şi a serviciilor publice reprezintă singura formă acceptabilă pentru asigurarea participării comunităţilor locale la viaţa politică, economică şi socială a ţării</w:t>
      </w:r>
      <w:r w:rsidRPr="001C6255">
        <w:rPr>
          <w:rFonts w:ascii="Times New Roman" w:hAnsi="Times New Roman" w:cs="Times New Roman"/>
          <w:color w:val="FF0000"/>
          <w:sz w:val="24"/>
          <w:szCs w:val="24"/>
          <w:lang w:val="it-IT"/>
        </w:rPr>
        <w:t>,</w:t>
      </w:r>
      <w:r w:rsidRPr="001C6255">
        <w:rPr>
          <w:rFonts w:ascii="Times New Roman" w:hAnsi="Times New Roman" w:cs="Times New Roman"/>
          <w:sz w:val="24"/>
          <w:szCs w:val="24"/>
          <w:lang w:val="it-IT"/>
        </w:rPr>
        <w:t xml:space="preserve"> reprezentând un proces continuu, progresiv, care evoluează odată cu extinderea capacităţii administrative a unităţilor administrativ-teritoriale, în vederea gestionării eficiente a serviciilor publice aflate în responsabilitatea acestora. </w:t>
      </w:r>
      <w:r w:rsidRPr="00F03FC8">
        <w:rPr>
          <w:rFonts w:ascii="Times New Roman" w:hAnsi="Times New Roman" w:cs="Times New Roman"/>
          <w:sz w:val="24"/>
          <w:szCs w:val="24"/>
          <w:lang w:val="fr-FR"/>
        </w:rPr>
        <w:t xml:space="preserve">Prin descentralizare, administraţia publică devine mai eficientă şi mai operativă, problemele care interesează populaţia se soluţionează la nivele inferioare, în condiţii de oportunitate si de operativitate sporită. </w:t>
      </w:r>
    </w:p>
    <w:p w:rsidR="00A853F5" w:rsidRPr="00F03FC8" w:rsidRDefault="00A853F5" w:rsidP="00A853F5">
      <w:pPr>
        <w:spacing w:after="0" w:line="240" w:lineRule="auto"/>
        <w:ind w:right="-29"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În administraţia publică locală s-au produs schimbări majore în ceea ce priveşte autonomia locală, atât din punct de vedere al deciziei, cât şi al resurselor financiare, ca urmare a apariţiei Legii 215/2001, privind administraţia publică locală, dar şi a OUG 45/2003 şi apoi a Legii 273/2006 privind finanţele publice locale. </w:t>
      </w:r>
    </w:p>
    <w:p w:rsidR="00A853F5" w:rsidRPr="00F03FC8" w:rsidRDefault="00A853F5" w:rsidP="00A853F5">
      <w:pPr>
        <w:spacing w:after="0" w:line="240" w:lineRule="auto"/>
        <w:ind w:right="-29"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Descentralizarea administraţiei publice, reducerea birocraţiei sau sporirea transparenţei actului administrativ ar trebui să fie deziderate pe care orice autoritate publică să încerce să le atingă.</w:t>
      </w:r>
    </w:p>
    <w:p w:rsidR="00A853F5" w:rsidRPr="00F03FC8" w:rsidRDefault="00A853F5" w:rsidP="00D773C7">
      <w:pPr>
        <w:spacing w:after="0" w:line="240" w:lineRule="auto"/>
        <w:ind w:right="-29"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Calea cea mai eficientă de a realiza aceste obiective este informatizarea administraţiei, ceea ce înseamnă, înainte de toate, o mai bună comunicare între cetăţeni şi administraţie, calea cea mai sigură înspre îndeplinirea principiului subsidiarităţii pe care se bazează autonomia locală. </w:t>
      </w:r>
    </w:p>
    <w:p w:rsidR="00A853F5" w:rsidRPr="00F03FC8" w:rsidRDefault="00A853F5" w:rsidP="00A853F5">
      <w:pPr>
        <w:spacing w:after="0" w:line="240" w:lineRule="auto"/>
        <w:ind w:right="-29"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În momentul de faţă, Primăria Municipiului Timişoara poate fi luată drept model de către multe din administraţiile publice din alte oraşe ale României şi din Europa şi în ceea ce priveşte nivelul de informatizare pe care îl are. Acesta permite îmbunătăţirea calităţii şi diversificarea serviciilor oferite cetăţenilor, maximizarea eficienţei, creşterea transparenţei activităţilor desfăşurate de către personal, crearea de noi canale de acces şi comunicare pentru cetăţeni, companii şi instituţii, cu partajarea şi diseminarea rapidă şi sigură a informaţiei, odată cu scăderea costului de comunicaţie.</w:t>
      </w:r>
    </w:p>
    <w:p w:rsidR="00A853F5" w:rsidRPr="00F03FC8" w:rsidRDefault="00A853F5" w:rsidP="00A853F5">
      <w:pPr>
        <w:spacing w:after="0" w:line="240" w:lineRule="auto"/>
        <w:ind w:right="-29"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Un sistem de informatizare implementat într-o instituţie publică aduce beneficii majore, şi anume: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acces direct şi instantaneu la informaţie;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rPr>
      </w:pPr>
      <w:r w:rsidRPr="00F03FC8">
        <w:rPr>
          <w:rFonts w:ascii="Times New Roman" w:hAnsi="Times New Roman" w:cs="Times New Roman"/>
          <w:sz w:val="24"/>
          <w:szCs w:val="24"/>
        </w:rPr>
        <w:t>reducerea birocraţiei şi descongestionarea serviciilor publice;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rPr>
      </w:pPr>
      <w:r w:rsidRPr="00F03FC8">
        <w:rPr>
          <w:rFonts w:ascii="Times New Roman" w:hAnsi="Times New Roman" w:cs="Times New Roman"/>
          <w:sz w:val="24"/>
          <w:szCs w:val="24"/>
        </w:rPr>
        <w:t>rezolvare rapidă şi interactivă a problemelor şi cererilor;</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lang w:val="it-IT"/>
        </w:rPr>
      </w:pPr>
      <w:r w:rsidRPr="00F03FC8">
        <w:rPr>
          <w:rFonts w:ascii="Times New Roman" w:hAnsi="Times New Roman" w:cs="Times New Roman"/>
          <w:sz w:val="24"/>
          <w:szCs w:val="24"/>
          <w:lang w:val="it-IT"/>
        </w:rPr>
        <w:t>scurtarea timpului procedurilor de rutină;</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lang w:val="es-ES"/>
        </w:rPr>
      </w:pPr>
      <w:r w:rsidRPr="00F03FC8">
        <w:rPr>
          <w:rFonts w:ascii="Times New Roman" w:hAnsi="Times New Roman" w:cs="Times New Roman"/>
          <w:sz w:val="24"/>
          <w:szCs w:val="24"/>
          <w:lang w:val="es-ES"/>
        </w:rPr>
        <w:t>reducerea timpului de aşteptare şi de acces la informaţie;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lang w:val="it-IT"/>
        </w:rPr>
      </w:pPr>
      <w:r w:rsidRPr="00F03FC8">
        <w:rPr>
          <w:rFonts w:ascii="Times New Roman" w:hAnsi="Times New Roman" w:cs="Times New Roman"/>
          <w:sz w:val="24"/>
          <w:szCs w:val="24"/>
          <w:lang w:val="it-IT"/>
        </w:rPr>
        <w:lastRenderedPageBreak/>
        <w:t>reducerea cozilor şi a blocajelor la ghişee;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rPr>
      </w:pPr>
      <w:r w:rsidRPr="00F03FC8">
        <w:rPr>
          <w:rFonts w:ascii="Times New Roman" w:hAnsi="Times New Roman" w:cs="Times New Roman"/>
          <w:sz w:val="24"/>
          <w:szCs w:val="24"/>
        </w:rPr>
        <w:t>standardizarea procedurilor de lucru şi consolidarea structurilor de date;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rPr>
      </w:pPr>
      <w:r w:rsidRPr="00F03FC8">
        <w:rPr>
          <w:rFonts w:ascii="Times New Roman" w:hAnsi="Times New Roman" w:cs="Times New Roman"/>
          <w:sz w:val="24"/>
          <w:szCs w:val="24"/>
        </w:rPr>
        <w:t>creşterea încrederii cetăţeanului în instituţiile şi serviciile publice;</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lang w:val="it-IT"/>
        </w:rPr>
      </w:pPr>
      <w:r w:rsidRPr="00F03FC8">
        <w:rPr>
          <w:rFonts w:ascii="Times New Roman" w:hAnsi="Times New Roman" w:cs="Times New Roman"/>
          <w:sz w:val="24"/>
          <w:szCs w:val="24"/>
          <w:lang w:val="it-IT"/>
        </w:rPr>
        <w:t>promovarea culturii informatice în rândul cetăţenilor;</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lang w:val="it-IT"/>
        </w:rPr>
      </w:pPr>
      <w:r w:rsidRPr="00F03FC8">
        <w:rPr>
          <w:rFonts w:ascii="Times New Roman" w:hAnsi="Times New Roman" w:cs="Times New Roman"/>
          <w:sz w:val="24"/>
          <w:szCs w:val="24"/>
          <w:lang w:val="it-IT"/>
        </w:rPr>
        <w:t>implicarea cetăţenilor în actul decizional şi procesul democratic;</w:t>
      </w:r>
    </w:p>
    <w:p w:rsidR="00A853F5" w:rsidRPr="00F03FC8" w:rsidRDefault="00A853F5" w:rsidP="00D773C7">
      <w:pPr>
        <w:numPr>
          <w:ilvl w:val="0"/>
          <w:numId w:val="2"/>
        </w:numPr>
        <w:tabs>
          <w:tab w:val="clear" w:pos="780"/>
          <w:tab w:val="num" w:pos="540"/>
        </w:tabs>
        <w:spacing w:after="0" w:line="240" w:lineRule="auto"/>
        <w:ind w:left="180" w:right="-29" w:firstLine="0"/>
        <w:jc w:val="both"/>
        <w:rPr>
          <w:rFonts w:ascii="Times New Roman" w:hAnsi="Times New Roman" w:cs="Times New Roman"/>
          <w:sz w:val="24"/>
          <w:szCs w:val="24"/>
        </w:rPr>
      </w:pPr>
      <w:r w:rsidRPr="00F03FC8">
        <w:rPr>
          <w:rFonts w:ascii="Times New Roman" w:hAnsi="Times New Roman" w:cs="Times New Roman"/>
          <w:sz w:val="24"/>
          <w:szCs w:val="24"/>
        </w:rPr>
        <w:t>reducerea reală a costurilor interne.</w:t>
      </w:r>
    </w:p>
    <w:p w:rsidR="00C307E8" w:rsidRDefault="00C307E8" w:rsidP="003370F0">
      <w:pPr>
        <w:spacing w:after="0" w:line="240" w:lineRule="auto"/>
        <w:ind w:right="-29" w:firstLine="720"/>
        <w:jc w:val="both"/>
        <w:rPr>
          <w:rFonts w:ascii="Times New Roman" w:hAnsi="Times New Roman"/>
          <w:color w:val="000000" w:themeColor="text1"/>
          <w:sz w:val="24"/>
          <w:szCs w:val="24"/>
        </w:rPr>
      </w:pP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rPr>
      </w:pPr>
      <w:r w:rsidRPr="00C307E8">
        <w:rPr>
          <w:rFonts w:ascii="Times New Roman" w:hAnsi="Times New Roman"/>
          <w:color w:val="000000" w:themeColor="text1"/>
          <w:sz w:val="24"/>
          <w:szCs w:val="24"/>
        </w:rPr>
        <w:t>Componentele sistemelor informatizate care funcţionează în cadrul Primăriei Municipiului Timişoara, şi beneficiile pe care acestea le aduc atât administraţiei publice locale cât şi, mai ales, cetăţeanului contribuabil sunt următoarele:</w:t>
      </w:r>
    </w:p>
    <w:p w:rsidR="003370F0" w:rsidRPr="00C307E8" w:rsidRDefault="003370F0" w:rsidP="003370F0">
      <w:pPr>
        <w:numPr>
          <w:ilvl w:val="0"/>
          <w:numId w:val="4"/>
        </w:numPr>
        <w:suppressAutoHyphens/>
        <w:spacing w:after="0" w:line="240" w:lineRule="auto"/>
        <w:ind w:right="-29"/>
        <w:jc w:val="both"/>
        <w:rPr>
          <w:rFonts w:ascii="Times New Roman" w:hAnsi="Times New Roman"/>
          <w:b/>
          <w:i/>
          <w:color w:val="000000" w:themeColor="text1"/>
          <w:sz w:val="24"/>
          <w:szCs w:val="24"/>
        </w:rPr>
      </w:pPr>
      <w:r w:rsidRPr="00C307E8">
        <w:rPr>
          <w:rFonts w:ascii="Times New Roman" w:hAnsi="Times New Roman"/>
          <w:b/>
          <w:i/>
          <w:color w:val="000000" w:themeColor="text1"/>
          <w:sz w:val="24"/>
          <w:szCs w:val="24"/>
        </w:rPr>
        <w:t>Sistemul Municipal de informare a cetăţenilor (Kiosk.connect)</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fr-FR"/>
        </w:rPr>
      </w:pPr>
      <w:r w:rsidRPr="00C307E8">
        <w:rPr>
          <w:rFonts w:ascii="Times New Roman" w:hAnsi="Times New Roman"/>
          <w:color w:val="000000" w:themeColor="text1"/>
          <w:sz w:val="24"/>
          <w:szCs w:val="24"/>
        </w:rPr>
        <w:t xml:space="preserve">Prima reţea de infochioşcuri din ţară s-a realizat la Timişoara şi a fost inaugurată în anul 2001. </w:t>
      </w:r>
      <w:r w:rsidRPr="00C307E8">
        <w:rPr>
          <w:rFonts w:ascii="Times New Roman" w:hAnsi="Times New Roman"/>
          <w:color w:val="000000" w:themeColor="text1"/>
          <w:sz w:val="24"/>
          <w:szCs w:val="24"/>
          <w:lang w:val="fr-FR"/>
        </w:rPr>
        <w:t>În 2003, această aplicaţie a primit marele premiu la Festivalul de Comunicare Digitală Internetics pentru cea mai bună reţea de infochioşcuri. Kiosk.connect reprezintă o soluţie de comunicare computerizată care, utilizând un terminal computerizat cu ecran tactil şi o aplicaţie interactivă de tip info-chioşc, facilitează difuzarea informaţiilor utile pentru cetăţeni.</w:t>
      </w:r>
    </w:p>
    <w:p w:rsidR="003370F0" w:rsidRPr="00C307E8" w:rsidRDefault="003370F0" w:rsidP="003370F0">
      <w:pPr>
        <w:tabs>
          <w:tab w:val="left" w:pos="720"/>
        </w:tabs>
        <w:spacing w:after="0" w:line="240" w:lineRule="auto"/>
        <w:ind w:right="-29"/>
        <w:jc w:val="both"/>
        <w:rPr>
          <w:rFonts w:ascii="Times New Roman" w:hAnsi="Times New Roman"/>
          <w:color w:val="000000" w:themeColor="text1"/>
          <w:sz w:val="24"/>
          <w:szCs w:val="24"/>
          <w:lang w:val="fr-FR"/>
        </w:rPr>
      </w:pPr>
      <w:r w:rsidRPr="00C307E8">
        <w:rPr>
          <w:rFonts w:ascii="Times New Roman" w:hAnsi="Times New Roman"/>
          <w:color w:val="000000" w:themeColor="text1"/>
          <w:sz w:val="24"/>
          <w:szCs w:val="24"/>
          <w:lang w:val="fr-FR"/>
        </w:rPr>
        <w:tab/>
        <w:t>Infochioşcurile sunt calculatoare instalate în spaţii publice, conectate cu serverul de portal al PMT şi care pot fi folosite intr-un mod foarte simplu şi gratuit. Aplicaţia Kiosk.connect, printr-o grafică specifică echipamentelor Infokiosk, publică informaţii din baza de date a Primăriei Municipiului Timişoara. Astfel, prin simpla atingere a ecranului, se poate accesa harta online a Municipiului Timişoara, baza de date cu Hotărârile Consiliului Local, comunicate de presă dar şi date generale despre istoria, cultura sau turismul în Timişoara. Prin intermediul infochioşcurilor cetăţenii pot obţine informaţii despre principalele instituţii din oraş, pot studia ghidul turistic al Timişoarei sau modul de organizare al regiilor autonome, Bugetul Local, Legi privind Administraţia Publică şi impozitele şi taxele locale. De asemenea, pot fi accesate informaţii privind activitatea de blocare şi ridicare a maşinilor, lucrări edilitare în execuţie, programul de colectare a deşeurilor menajere, etc. Persoanele care apelează la infochioşcuri pot afla cu ce mijloace de transport se pot deplasa din locul în care se află spre anumite obiective la care vor sa ajungă. Pe o hartă a oraşului este marcat vizibil amplasamentul infochioşcului pe care îl accesează cel interesat, iar apoi este relevat pe ecran traseul mijloacelor de transport urban cu care cetăţeanul poate ajunge în locul dorit, dar şi staţiile de taxi cele mai apropiate.</w:t>
      </w:r>
    </w:p>
    <w:p w:rsidR="003370F0" w:rsidRPr="00C307E8" w:rsidRDefault="003370F0" w:rsidP="003370F0">
      <w:pPr>
        <w:numPr>
          <w:ilvl w:val="0"/>
          <w:numId w:val="4"/>
        </w:numPr>
        <w:tabs>
          <w:tab w:val="left" w:pos="720"/>
        </w:tabs>
        <w:suppressAutoHyphens/>
        <w:spacing w:after="0" w:line="240" w:lineRule="auto"/>
        <w:ind w:right="-29"/>
        <w:jc w:val="both"/>
        <w:rPr>
          <w:rFonts w:ascii="Times New Roman" w:hAnsi="Times New Roman"/>
          <w:b/>
          <w:i/>
          <w:color w:val="000000" w:themeColor="text1"/>
          <w:sz w:val="24"/>
          <w:szCs w:val="24"/>
          <w:lang w:val="fr-FR"/>
        </w:rPr>
      </w:pPr>
      <w:r w:rsidRPr="00C307E8">
        <w:rPr>
          <w:rFonts w:ascii="Times New Roman" w:hAnsi="Times New Roman"/>
          <w:b/>
          <w:i/>
          <w:color w:val="000000" w:themeColor="text1"/>
          <w:sz w:val="24"/>
          <w:szCs w:val="24"/>
          <w:lang w:val="fr-FR"/>
        </w:rPr>
        <w:t>Sistemul de informare şi comunicare facil pentru cetăţeni – panouri informative</w:t>
      </w:r>
    </w:p>
    <w:p w:rsidR="003370F0" w:rsidRPr="00C307E8" w:rsidRDefault="003370F0" w:rsidP="003370F0">
      <w:pPr>
        <w:autoSpaceDE w:val="0"/>
        <w:autoSpaceDN w:val="0"/>
        <w:adjustRightInd w:val="0"/>
        <w:spacing w:after="0" w:line="240" w:lineRule="auto"/>
        <w:ind w:right="-29" w:firstLine="720"/>
        <w:jc w:val="both"/>
        <w:rPr>
          <w:rFonts w:ascii="Times New Roman" w:eastAsia="Calibri" w:hAnsi="Times New Roman"/>
          <w:color w:val="000000" w:themeColor="text1"/>
          <w:sz w:val="24"/>
          <w:szCs w:val="24"/>
          <w:lang w:val="fr-FR"/>
        </w:rPr>
      </w:pPr>
      <w:r w:rsidRPr="00C307E8">
        <w:rPr>
          <w:rFonts w:ascii="Times New Roman" w:eastAsia="Calibri" w:hAnsi="Times New Roman"/>
          <w:color w:val="000000" w:themeColor="text1"/>
          <w:sz w:val="24"/>
          <w:szCs w:val="24"/>
          <w:lang w:val="fr-FR"/>
        </w:rPr>
        <w:t xml:space="preserve">Preocuparea permanentă a conducerii Primăriei Municipiului Timişoara este îmbunătăţirea serviciilor publice electronice, oferite atât cetăţenilor municipiului cât şi persoanelor care vin sau tranzitează oraşul Timişoara, şi eficientizarea procesului de comunicare. </w:t>
      </w:r>
    </w:p>
    <w:p w:rsidR="003370F0" w:rsidRPr="00C307E8" w:rsidRDefault="003370F0" w:rsidP="003370F0">
      <w:pPr>
        <w:autoSpaceDE w:val="0"/>
        <w:autoSpaceDN w:val="0"/>
        <w:adjustRightInd w:val="0"/>
        <w:spacing w:after="0" w:line="240" w:lineRule="auto"/>
        <w:ind w:right="-29" w:firstLine="720"/>
        <w:jc w:val="both"/>
        <w:rPr>
          <w:rFonts w:ascii="Times New Roman" w:eastAsia="Calibri" w:hAnsi="Times New Roman"/>
          <w:color w:val="000000" w:themeColor="text1"/>
          <w:sz w:val="24"/>
          <w:szCs w:val="24"/>
          <w:lang w:val="fr-FR"/>
        </w:rPr>
      </w:pPr>
      <w:r w:rsidRPr="00C307E8">
        <w:rPr>
          <w:rFonts w:ascii="Times New Roman" w:eastAsia="Calibri" w:hAnsi="Times New Roman"/>
          <w:color w:val="000000" w:themeColor="text1"/>
          <w:sz w:val="24"/>
          <w:szCs w:val="24"/>
          <w:lang w:val="fr-FR"/>
        </w:rPr>
        <w:t>Primăria Timişoara a luat iniţiativa amplasării, atât în cartierele cât şi în punctele de mare interes ale oraşului, a 29 de panouri informative cu afişaj electronic, conţinând informaţii utile despre activităţile din oraş. Amplasarea panourilor informative de afişaj electronic vine în completarea elementelor de comunicare şi interacţiune pe care municipalitatea le are cu cetăţenii şi se înscrie în Planul Integrat de Dezvoltare</w:t>
      </w:r>
      <w:r w:rsidRPr="00C307E8">
        <w:rPr>
          <w:rFonts w:ascii="Times New Roman" w:eastAsia="Calibri" w:hAnsi="Times New Roman"/>
          <w:bCs/>
          <w:color w:val="000000" w:themeColor="text1"/>
          <w:sz w:val="24"/>
          <w:szCs w:val="24"/>
          <w:lang w:val="fr-FR"/>
        </w:rPr>
        <w:t xml:space="preserve"> al “Polului de creştere Timişoara”.</w:t>
      </w:r>
    </w:p>
    <w:p w:rsidR="003370F0" w:rsidRPr="00C307E8" w:rsidRDefault="003370F0" w:rsidP="003370F0">
      <w:pPr>
        <w:autoSpaceDE w:val="0"/>
        <w:autoSpaceDN w:val="0"/>
        <w:adjustRightInd w:val="0"/>
        <w:spacing w:after="0" w:line="240" w:lineRule="auto"/>
        <w:ind w:right="-29" w:firstLine="720"/>
        <w:jc w:val="both"/>
        <w:rPr>
          <w:rFonts w:ascii="Times New Roman" w:eastAsia="Calibri" w:hAnsi="Times New Roman"/>
          <w:color w:val="000000" w:themeColor="text1"/>
          <w:sz w:val="24"/>
          <w:szCs w:val="24"/>
          <w:lang w:val="fr-FR"/>
        </w:rPr>
      </w:pPr>
      <w:r w:rsidRPr="00C307E8">
        <w:rPr>
          <w:rFonts w:ascii="Times New Roman" w:eastAsia="Calibri" w:hAnsi="Times New Roman"/>
          <w:color w:val="000000" w:themeColor="text1"/>
          <w:sz w:val="24"/>
          <w:szCs w:val="24"/>
          <w:lang w:val="fr-FR"/>
        </w:rPr>
        <w:t>Măsura vine în sprijinul ideilor promovate de Uniunea Europeană - de îmbunătăţire a dialogului cetăţenesc - şi răspunde cererilor mai multor consilii consultative de cartier din Timişoara, de a spori transparenţa activităţii acestei instituţii publice şi a actelor decizionale. Prin amplasarea a</w:t>
      </w:r>
      <w:r w:rsidRPr="00C307E8">
        <w:rPr>
          <w:rFonts w:ascii="Times New Roman" w:hAnsi="Times New Roman"/>
          <w:color w:val="000000" w:themeColor="text1"/>
          <w:sz w:val="24"/>
          <w:szCs w:val="24"/>
          <w:lang w:val="fr-FR"/>
        </w:rPr>
        <w:t>cestor panouri, s-a</w:t>
      </w:r>
      <w:r w:rsidRPr="00C307E8">
        <w:rPr>
          <w:rFonts w:ascii="Times New Roman" w:eastAsia="Calibri" w:hAnsi="Times New Roman"/>
          <w:color w:val="000000" w:themeColor="text1"/>
          <w:sz w:val="24"/>
          <w:szCs w:val="24"/>
          <w:lang w:val="fr-FR"/>
        </w:rPr>
        <w:t xml:space="preserve"> crea</w:t>
      </w:r>
      <w:r w:rsidRPr="00C307E8">
        <w:rPr>
          <w:rFonts w:ascii="Times New Roman" w:hAnsi="Times New Roman"/>
          <w:color w:val="000000" w:themeColor="text1"/>
          <w:sz w:val="24"/>
          <w:szCs w:val="24"/>
          <w:lang w:val="fr-FR"/>
        </w:rPr>
        <w:t>t</w:t>
      </w:r>
      <w:r w:rsidRPr="00C307E8">
        <w:rPr>
          <w:rFonts w:ascii="Times New Roman" w:eastAsia="Calibri" w:hAnsi="Times New Roman"/>
          <w:color w:val="000000" w:themeColor="text1"/>
          <w:sz w:val="24"/>
          <w:szCs w:val="24"/>
          <w:lang w:val="fr-FR"/>
        </w:rPr>
        <w:t xml:space="preserve"> premisa ca cetăţenii să afle în timp real şi din sursă directă </w:t>
      </w:r>
      <w:r w:rsidRPr="00C307E8">
        <w:rPr>
          <w:rFonts w:ascii="Times New Roman" w:eastAsia="Calibri" w:hAnsi="Times New Roman"/>
          <w:color w:val="000000" w:themeColor="text1"/>
          <w:sz w:val="24"/>
          <w:szCs w:val="24"/>
          <w:lang w:val="fr-FR"/>
        </w:rPr>
        <w:lastRenderedPageBreak/>
        <w:t>informaţiile care îi interesează, referitoare la cele expuse mai sus, dar şi la o serie de alte evenimente socio-culturale care au loc în municipiul Timişoara.</w:t>
      </w:r>
    </w:p>
    <w:p w:rsidR="003370F0" w:rsidRPr="00C307E8" w:rsidRDefault="003370F0" w:rsidP="003370F0">
      <w:pPr>
        <w:numPr>
          <w:ilvl w:val="0"/>
          <w:numId w:val="4"/>
        </w:numPr>
        <w:suppressAutoHyphens/>
        <w:spacing w:after="0" w:line="240" w:lineRule="auto"/>
        <w:ind w:right="-29"/>
        <w:jc w:val="both"/>
        <w:rPr>
          <w:rFonts w:ascii="Times New Roman" w:hAnsi="Times New Roman"/>
          <w:b/>
          <w:i/>
          <w:color w:val="000000" w:themeColor="text1"/>
          <w:sz w:val="24"/>
          <w:szCs w:val="24"/>
        </w:rPr>
      </w:pPr>
      <w:r w:rsidRPr="00C307E8">
        <w:rPr>
          <w:rFonts w:ascii="Times New Roman" w:hAnsi="Times New Roman"/>
          <w:b/>
          <w:i/>
          <w:color w:val="000000" w:themeColor="text1"/>
          <w:sz w:val="24"/>
          <w:szCs w:val="24"/>
        </w:rPr>
        <w:t>Sistemul informaţional de plată a taxelor şi impozitelor locale</w:t>
      </w:r>
    </w:p>
    <w:p w:rsidR="003370F0" w:rsidRPr="00C307E8" w:rsidRDefault="003370F0" w:rsidP="003370F0">
      <w:pPr>
        <w:spacing w:after="0" w:line="240" w:lineRule="auto"/>
        <w:ind w:right="-29"/>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rPr>
        <w:t>Primăria Timişoara este cea care a introdus - în premieră pentru România - plata taxelor şi a impozitelor locale prin Internet, tocmai pentru a reduce cozile interminabile la ghişeele primăriei.</w:t>
      </w:r>
      <w:r w:rsidRPr="00C307E8">
        <w:rPr>
          <w:rFonts w:ascii="Times New Roman" w:hAnsi="Times New Roman"/>
          <w:color w:val="000000" w:themeColor="text1"/>
          <w:sz w:val="24"/>
          <w:szCs w:val="24"/>
          <w:lang w:val="it-IT"/>
        </w:rPr>
        <w:t xml:space="preserve"> Serviciul de plată online a impozitelor şi taxelor locale funcţionează într-un format uşor de accesat de către cetăţeni.</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Astfel, în prezent contribuabilii pot efectua toate operaţiunile legate de informare şi de achitare a impozitelor şi taxelor locale în orice moment al zilei, fară a mai fi necesară deplasarea la sediul Direcţiei Fiscale a Municipiului Timişoara:</w:t>
      </w:r>
    </w:p>
    <w:p w:rsidR="003370F0" w:rsidRPr="00C307E8" w:rsidRDefault="003370F0" w:rsidP="003370F0">
      <w:pPr>
        <w:spacing w:after="0" w:line="240" w:lineRule="auto"/>
        <w:ind w:left="360" w:right="-29"/>
        <w:jc w:val="both"/>
        <w:rPr>
          <w:rFonts w:ascii="Times New Roman" w:hAnsi="Times New Roman"/>
          <w:color w:val="000000" w:themeColor="text1"/>
          <w:sz w:val="24"/>
          <w:szCs w:val="24"/>
          <w:lang w:val="fr-FR"/>
        </w:rPr>
      </w:pPr>
      <w:r w:rsidRPr="00C307E8">
        <w:rPr>
          <w:rFonts w:ascii="Times New Roman" w:hAnsi="Times New Roman"/>
          <w:color w:val="000000" w:themeColor="text1"/>
          <w:sz w:val="24"/>
          <w:szCs w:val="24"/>
          <w:lang w:val="fr-FR"/>
        </w:rPr>
        <w:t>- prin accesarea rubricii de plată on-line pe site-ul Direcţiei Fiscale a Municipiului Timişoara www.dfmt.ro;</w:t>
      </w:r>
    </w:p>
    <w:p w:rsidR="003370F0" w:rsidRPr="00C307E8" w:rsidRDefault="003370F0" w:rsidP="003370F0">
      <w:pPr>
        <w:spacing w:after="0" w:line="240" w:lineRule="auto"/>
        <w:ind w:left="360" w:right="-29"/>
        <w:jc w:val="both"/>
        <w:rPr>
          <w:rFonts w:ascii="Times New Roman" w:hAnsi="Times New Roman"/>
          <w:color w:val="000000" w:themeColor="text1"/>
          <w:sz w:val="24"/>
          <w:szCs w:val="24"/>
          <w:lang w:val="fr-FR"/>
        </w:rPr>
      </w:pPr>
      <w:r w:rsidRPr="00C307E8">
        <w:rPr>
          <w:rFonts w:ascii="Times New Roman" w:hAnsi="Times New Roman"/>
          <w:color w:val="000000" w:themeColor="text1"/>
          <w:sz w:val="24"/>
          <w:szCs w:val="24"/>
          <w:lang w:val="fr-FR"/>
        </w:rPr>
        <w:t>- prin sistemul naţional electronic de plată on-line a taxelor şi impozitelor utilizând cardul bancar</w:t>
      </w:r>
      <w:r w:rsidR="00C307E8" w:rsidRPr="00C307E8">
        <w:rPr>
          <w:rFonts w:ascii="Times New Roman" w:hAnsi="Times New Roman"/>
          <w:color w:val="000000" w:themeColor="text1"/>
          <w:sz w:val="24"/>
          <w:szCs w:val="24"/>
          <w:lang w:val="fr-FR"/>
        </w:rPr>
        <w:t xml:space="preserve"> – SNEP (siteul www. ghiseul.ro</w:t>
      </w:r>
      <w:r w:rsidRPr="00C307E8">
        <w:rPr>
          <w:rFonts w:ascii="Times New Roman" w:hAnsi="Times New Roman"/>
          <w:color w:val="000000" w:themeColor="text1"/>
          <w:sz w:val="24"/>
          <w:szCs w:val="24"/>
          <w:lang w:val="fr-FR"/>
        </w:rPr>
        <w:t>).</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De asemenea, plata impozitelor şi taxelor locale poate fi efectuată şi în numerar la casieriile deschise la sediul Direcţiei Fiscale a Municipiului Timişoara şi prin colaborare cu Poşta Română.</w:t>
      </w:r>
    </w:p>
    <w:p w:rsidR="003370F0" w:rsidRPr="00C307E8" w:rsidRDefault="003370F0" w:rsidP="003370F0">
      <w:pPr>
        <w:numPr>
          <w:ilvl w:val="0"/>
          <w:numId w:val="4"/>
        </w:numPr>
        <w:suppressAutoHyphens/>
        <w:spacing w:after="0" w:line="240" w:lineRule="auto"/>
        <w:ind w:right="-29"/>
        <w:jc w:val="both"/>
        <w:rPr>
          <w:rFonts w:ascii="Times New Roman" w:hAnsi="Times New Roman"/>
          <w:b/>
          <w:i/>
          <w:color w:val="000000" w:themeColor="text1"/>
          <w:sz w:val="24"/>
          <w:szCs w:val="24"/>
          <w:lang w:val="it-IT"/>
        </w:rPr>
      </w:pPr>
      <w:r w:rsidRPr="00C307E8">
        <w:rPr>
          <w:rFonts w:ascii="Times New Roman" w:hAnsi="Times New Roman"/>
          <w:b/>
          <w:i/>
          <w:color w:val="000000" w:themeColor="text1"/>
          <w:sz w:val="24"/>
          <w:szCs w:val="24"/>
          <w:lang w:val="it-IT"/>
        </w:rPr>
        <w:t>Portalul web al Primăriei Municipiului Timişoara (Portal.connect)</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 xml:space="preserve">Aplicaţia Portal.connect e structurată în două componente aplicative distinctive: aplicaţiile front-office, accesibile utilizatorilor prin interfaţa portalului pe Internet, şi aplicaţiile back-office, care includ modulul de administrare (panoul administratorului). În funcţie de diverse necesităţi, alte aplicaţii şi baze de date sunt integrate în portal. Constituit din mai multe aplicaţii online ce au ca scop crearea unui mijloc de informare a cetăţenilor, în timp real, despre activităţile administraţiei locale, acesta oferă servicii online gratuite, precum şi crearea unei arhive de informaţii despre Timişoara, utile cetăţenilor, turiştilor şi oamenilor de afaceri. </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Portalul web (partea publică) www.primariatm.ro este structurat pe trei secţiuni mari: Primăria, Monitorul online şi Timişoara. Aceste secţiuni conţin o multitudine de informaţii, dar şi modalităţi de interacţionare cu cetăţenii: sondaje online, plata taxelor şi impozitelor online, formulare online, program de audienţe, informaţii de contact, hotărârile consiliului local, comunicate de presă, link-uri utile, informaţii de interes public, motoare de căutare, etc.</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pacing w:val="-4"/>
          <w:sz w:val="24"/>
          <w:szCs w:val="24"/>
          <w:lang w:val="it-IT"/>
        </w:rPr>
        <w:t xml:space="preserve">Dovada utilităţii acestui portal constă în faptul că site-ul </w:t>
      </w:r>
      <w:hyperlink r:id="rId8" w:history="1">
        <w:r w:rsidRPr="00C307E8">
          <w:rPr>
            <w:rStyle w:val="Hyperlink"/>
            <w:rFonts w:ascii="Times New Roman" w:hAnsi="Times New Roman"/>
            <w:color w:val="000000" w:themeColor="text1"/>
            <w:spacing w:val="-4"/>
            <w:sz w:val="24"/>
            <w:szCs w:val="24"/>
            <w:lang w:val="it-IT"/>
          </w:rPr>
          <w:t>www.primariatm.ro</w:t>
        </w:r>
      </w:hyperlink>
      <w:r w:rsidRPr="00C307E8">
        <w:rPr>
          <w:rFonts w:ascii="Times New Roman" w:hAnsi="Times New Roman"/>
          <w:color w:val="000000" w:themeColor="text1"/>
          <w:spacing w:val="-4"/>
          <w:sz w:val="24"/>
          <w:szCs w:val="24"/>
          <w:lang w:val="it-IT"/>
        </w:rPr>
        <w:t xml:space="preserve"> ocupă locul 46 în topul regional al audienţei (conform </w:t>
      </w:r>
      <w:hyperlink r:id="rId9" w:history="1">
        <w:r w:rsidRPr="00C307E8">
          <w:rPr>
            <w:rStyle w:val="Hyperlink"/>
            <w:rFonts w:ascii="Times New Roman" w:hAnsi="Times New Roman"/>
            <w:color w:val="000000" w:themeColor="text1"/>
            <w:spacing w:val="-4"/>
            <w:sz w:val="24"/>
            <w:szCs w:val="24"/>
            <w:lang w:val="it-IT"/>
          </w:rPr>
          <w:t>www.trafic.ro</w:t>
        </w:r>
      </w:hyperlink>
      <w:r w:rsidRPr="00C307E8">
        <w:rPr>
          <w:rFonts w:ascii="Times New Roman" w:hAnsi="Times New Roman"/>
          <w:color w:val="000000" w:themeColor="text1"/>
          <w:spacing w:val="-4"/>
          <w:sz w:val="24"/>
          <w:szCs w:val="24"/>
          <w:lang w:val="it-IT"/>
        </w:rPr>
        <w:t>, luna decembrie 2015).</w:t>
      </w:r>
      <w:r w:rsidRPr="00C307E8">
        <w:rPr>
          <w:rFonts w:ascii="Times New Roman" w:hAnsi="Times New Roman"/>
          <w:color w:val="000000" w:themeColor="text1"/>
          <w:sz w:val="24"/>
          <w:szCs w:val="24"/>
          <w:lang w:val="it-IT"/>
        </w:rPr>
        <w:t>.</w:t>
      </w:r>
    </w:p>
    <w:p w:rsidR="003370F0" w:rsidRPr="00C307E8" w:rsidRDefault="003370F0" w:rsidP="003370F0">
      <w:pPr>
        <w:autoSpaceDE w:val="0"/>
        <w:autoSpaceDN w:val="0"/>
        <w:adjustRightInd w:val="0"/>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 xml:space="preserve">Portalul </w:t>
      </w:r>
      <w:hyperlink r:id="rId10" w:history="1">
        <w:r w:rsidRPr="00C307E8">
          <w:rPr>
            <w:rStyle w:val="Hyperlink"/>
            <w:rFonts w:ascii="Times New Roman" w:hAnsi="Times New Roman"/>
            <w:color w:val="000000" w:themeColor="text1"/>
            <w:sz w:val="24"/>
            <w:szCs w:val="24"/>
            <w:lang w:val="it-IT"/>
          </w:rPr>
          <w:t>www.primariatm.ro</w:t>
        </w:r>
      </w:hyperlink>
      <w:r w:rsidRPr="00C307E8">
        <w:rPr>
          <w:rFonts w:ascii="Times New Roman" w:hAnsi="Times New Roman"/>
          <w:color w:val="000000" w:themeColor="text1"/>
          <w:sz w:val="24"/>
          <w:szCs w:val="24"/>
          <w:lang w:val="it-IT"/>
        </w:rPr>
        <w:t xml:space="preserve"> a obţinut de-a lungul timpului mai multe premii naţionale şi internaţionale în domeniul informatizării.</w:t>
      </w:r>
    </w:p>
    <w:p w:rsidR="003370F0" w:rsidRPr="00C307E8" w:rsidRDefault="003370F0" w:rsidP="003370F0">
      <w:pPr>
        <w:numPr>
          <w:ilvl w:val="0"/>
          <w:numId w:val="4"/>
        </w:numPr>
        <w:suppressAutoHyphens/>
        <w:spacing w:after="0" w:line="240" w:lineRule="auto"/>
        <w:ind w:right="-29"/>
        <w:jc w:val="both"/>
        <w:rPr>
          <w:rFonts w:ascii="Times New Roman" w:hAnsi="Times New Roman"/>
          <w:b/>
          <w:i/>
          <w:color w:val="000000" w:themeColor="text1"/>
          <w:sz w:val="24"/>
          <w:szCs w:val="24"/>
          <w:lang w:val="it-IT"/>
        </w:rPr>
      </w:pPr>
      <w:r w:rsidRPr="00C307E8">
        <w:rPr>
          <w:rFonts w:ascii="Times New Roman" w:hAnsi="Times New Roman"/>
          <w:b/>
          <w:i/>
          <w:color w:val="000000" w:themeColor="text1"/>
          <w:sz w:val="24"/>
          <w:szCs w:val="24"/>
          <w:lang w:val="it-IT"/>
        </w:rPr>
        <w:t>Sistemul de management al documentelor (Dox.connect)</w:t>
      </w:r>
    </w:p>
    <w:p w:rsidR="003370F0" w:rsidRPr="00C307E8" w:rsidRDefault="003370F0" w:rsidP="003370F0">
      <w:pPr>
        <w:spacing w:after="0" w:line="240" w:lineRule="auto"/>
        <w:ind w:right="-29" w:firstLine="720"/>
        <w:jc w:val="both"/>
        <w:rPr>
          <w:rFonts w:ascii="Times New Roman" w:eastAsia="Arial" w:hAnsi="Times New Roman"/>
          <w:color w:val="000000" w:themeColor="text1"/>
          <w:sz w:val="24"/>
          <w:szCs w:val="24"/>
          <w:lang w:val="it-IT"/>
        </w:rPr>
      </w:pPr>
      <w:r w:rsidRPr="00C307E8">
        <w:rPr>
          <w:rFonts w:ascii="Times New Roman" w:eastAsia="Arial" w:hAnsi="Times New Roman"/>
          <w:color w:val="000000" w:themeColor="text1"/>
          <w:sz w:val="24"/>
          <w:szCs w:val="24"/>
          <w:lang w:val="it-IT"/>
        </w:rPr>
        <w:t xml:space="preserve">Dox.connect este o suită de aplicaţii cu funcţionalităţi complete de management al documentelor şi fluxurilor de lucru (workflow). Documentele pot avea diverse forme: documente pe hârtie, fişiere diverse, mail-uri, fax-uri. Acest sistem informatic a fost realizat pe platforma Lotus Notes Domino şi urmăreşte „drumul hârtiilor” în cadrul instituţiei. Dox.connect gestionează unitar circuitul documentelor pe întreg parcursul de viaţă al acestora şi asigură toate funcţionalităţile standard cerute de un management corect, securizat şi eficient al documentelor. </w:t>
      </w:r>
    </w:p>
    <w:p w:rsidR="003370F0" w:rsidRPr="00C307E8" w:rsidRDefault="003370F0" w:rsidP="003370F0">
      <w:pPr>
        <w:pStyle w:val="BlockText"/>
        <w:ind w:left="0" w:right="-29" w:firstLine="720"/>
        <w:rPr>
          <w:rFonts w:ascii="Times New Roman" w:hAnsi="Times New Roman"/>
          <w:color w:val="000000" w:themeColor="text1"/>
          <w:szCs w:val="24"/>
        </w:rPr>
      </w:pPr>
      <w:r w:rsidRPr="00C307E8">
        <w:rPr>
          <w:rFonts w:ascii="Times New Roman" w:hAnsi="Times New Roman"/>
          <w:color w:val="000000" w:themeColor="text1"/>
          <w:szCs w:val="24"/>
        </w:rPr>
        <w:t xml:space="preserve">Sistemul de management al documentelor (Dox.connect) asigură preluarea, gestionarea şi eliberarea electronică a documentelor de către Primăria Municipiului Timişoara. Acest lucru înseamnă că orice document (cereri, reclamaţii, sesizări) care intră în Primărie - prin registratura instituţiei, portal sau Call Center – se prelucrează unitar, termenele scadente sunt gestionate la </w:t>
      </w:r>
      <w:r w:rsidRPr="00C307E8">
        <w:rPr>
          <w:rFonts w:ascii="Times New Roman" w:hAnsi="Times New Roman"/>
          <w:color w:val="000000" w:themeColor="text1"/>
          <w:szCs w:val="24"/>
        </w:rPr>
        <w:lastRenderedPageBreak/>
        <w:t>nivel de sarcini/rol sau chiar utilizator. Sistemul oferă posibilitatea monitorizării stării curente a documentelor (la ce serviciu/birou/ persoană se află documentul la un moment dat).</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 xml:space="preserve">Prin introducerea sistemelor de informatizare de management al documentelor, timpul necesar procesării documentelor a scăzut în medie cu 15-20%, iar timpul necesar utilizatorilor de a rezolva problemele a fost redus cu până la 50%. </w:t>
      </w:r>
      <w:r w:rsidRPr="00C307E8">
        <w:rPr>
          <w:rFonts w:ascii="Times New Roman" w:eastAsia="Arial" w:hAnsi="Times New Roman"/>
          <w:color w:val="000000" w:themeColor="text1"/>
          <w:sz w:val="24"/>
          <w:szCs w:val="24"/>
          <w:lang w:val="it-IT"/>
        </w:rPr>
        <w:t>Prin intermediul aplicaţiei Dox.connect, se face publicarea în mod automat pe portalul instituţiei, www.primariatm.ro, a proiectelor de hotărâri a Consiliului Local, a hotărârilor de Consiliu Local, certificatelor de urbanism, autorizaţiilor de urbanism, acord comercial.</w:t>
      </w:r>
    </w:p>
    <w:p w:rsidR="003370F0" w:rsidRPr="00C307E8" w:rsidRDefault="003370F0" w:rsidP="003370F0">
      <w:pPr>
        <w:numPr>
          <w:ilvl w:val="0"/>
          <w:numId w:val="4"/>
        </w:numPr>
        <w:suppressAutoHyphens/>
        <w:spacing w:after="0" w:line="240" w:lineRule="auto"/>
        <w:ind w:right="-29"/>
        <w:jc w:val="both"/>
        <w:rPr>
          <w:rFonts w:ascii="Times New Roman" w:hAnsi="Times New Roman"/>
          <w:i/>
          <w:color w:val="000000" w:themeColor="text1"/>
          <w:sz w:val="24"/>
          <w:szCs w:val="24"/>
          <w:lang w:val="it-IT"/>
        </w:rPr>
      </w:pPr>
      <w:r w:rsidRPr="00C307E8">
        <w:rPr>
          <w:rFonts w:ascii="Times New Roman" w:hAnsi="Times New Roman"/>
          <w:b/>
          <w:i/>
          <w:color w:val="000000" w:themeColor="text1"/>
          <w:sz w:val="24"/>
          <w:szCs w:val="24"/>
          <w:lang w:val="it-IT"/>
        </w:rPr>
        <w:t>Call Center</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 xml:space="preserve">Call Center-ul (0256/969) a funcţionat ca serviciu externalizat al Primăriei, până în anul 2013, după care a fost internalizat. Din noiembrie 2013 s-a renuntat la serviciul externalizat şi a fost implementat un serviciu  similar dar cu angajaţii Primăriei Timişoara. În timpul programului de lucru, se răspunde  la telefon direct de către angajaţi, în funcţie de problemele cetăţeanului. Dacă problema nu se poate rezolva în timpul discuţiei telefonice, solicitarea poate primi număr de înregistrare în platforma Dox.Connect, urmând ca în continuare să fie rezolvată de angajaţii Primăriei ca orice altă solicitare depusă pe site sau direct la ghişee. În afara programului de lucru, există posibilitatea de a se înregistra mesaj. </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Serviciul de Call Center s-a introdus din dorinţa de a economisi timpul cetăţeanului, care poate să afle, în acest fel, la telefon, diverse informaţii, fără a mai fi nevoit să se deplaseze la Primăria Municipiului Timişoara.</w:t>
      </w:r>
    </w:p>
    <w:p w:rsidR="003370F0" w:rsidRPr="00C307E8" w:rsidRDefault="003370F0" w:rsidP="003370F0">
      <w:pPr>
        <w:numPr>
          <w:ilvl w:val="0"/>
          <w:numId w:val="4"/>
        </w:numPr>
        <w:suppressAutoHyphens/>
        <w:spacing w:after="0" w:line="240" w:lineRule="auto"/>
        <w:ind w:right="-29"/>
        <w:jc w:val="both"/>
        <w:rPr>
          <w:rFonts w:ascii="Times New Roman" w:hAnsi="Times New Roman"/>
          <w:i/>
          <w:color w:val="000000" w:themeColor="text1"/>
          <w:sz w:val="24"/>
          <w:szCs w:val="24"/>
          <w:lang w:val="it-IT"/>
        </w:rPr>
      </w:pPr>
      <w:r w:rsidRPr="00C307E8">
        <w:rPr>
          <w:rFonts w:ascii="Times New Roman" w:hAnsi="Times New Roman"/>
          <w:b/>
          <w:i/>
          <w:color w:val="000000" w:themeColor="text1"/>
          <w:sz w:val="24"/>
          <w:szCs w:val="24"/>
          <w:lang w:val="it-IT"/>
        </w:rPr>
        <w:t>Transmiterea on-line a şedinţelor Consiliului Local al Municipiului Timişoara</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 xml:space="preserve">Primăria Municipiului Timişoara este prima administraţie publică locală din ţară şi a doua după Barcelona, din Europa, care, începând cu luna mai 2004, transmite on-line pe portalul instituţiei, </w:t>
      </w:r>
      <w:hyperlink r:id="rId11" w:history="1">
        <w:r w:rsidRPr="00C307E8">
          <w:rPr>
            <w:rStyle w:val="Hyperlink"/>
            <w:rFonts w:ascii="Times New Roman" w:hAnsi="Times New Roman"/>
            <w:color w:val="000000" w:themeColor="text1"/>
            <w:sz w:val="24"/>
            <w:szCs w:val="24"/>
            <w:lang w:val="it-IT"/>
          </w:rPr>
          <w:t>www.primariatm.ro</w:t>
        </w:r>
      </w:hyperlink>
      <w:r w:rsidRPr="00C307E8">
        <w:rPr>
          <w:rFonts w:ascii="Times New Roman" w:hAnsi="Times New Roman"/>
          <w:color w:val="000000" w:themeColor="text1"/>
          <w:sz w:val="24"/>
          <w:szCs w:val="24"/>
          <w:lang w:val="it-IT"/>
        </w:rPr>
        <w:t xml:space="preserve">, şedinţele Consiliului Local Timişoara. </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 xml:space="preserve">Ideea acestui proiect a apărut din dorinţa de a contribui la creşterea transparenţei actului decizional la nivelul Consiliului Local Timişoara şi al Primăriei, prin oferirea de informaţii electronice cetăţenilor, în timp real, şi posibilitatea de a vedea cum gândesc şi cum votează cei pe care i-au ales. </w:t>
      </w:r>
    </w:p>
    <w:p w:rsidR="003370F0" w:rsidRPr="00C307E8" w:rsidRDefault="003370F0" w:rsidP="003370F0">
      <w:pPr>
        <w:spacing w:after="0" w:line="240" w:lineRule="auto"/>
        <w:ind w:right="-29" w:firstLine="720"/>
        <w:jc w:val="both"/>
        <w:rPr>
          <w:rFonts w:ascii="Times New Roman" w:hAnsi="Times New Roman"/>
          <w:color w:val="000000" w:themeColor="text1"/>
          <w:sz w:val="24"/>
          <w:szCs w:val="24"/>
          <w:lang w:val="it-IT"/>
        </w:rPr>
      </w:pPr>
      <w:r w:rsidRPr="00C307E8">
        <w:rPr>
          <w:rFonts w:ascii="Times New Roman" w:hAnsi="Times New Roman"/>
          <w:color w:val="000000" w:themeColor="text1"/>
          <w:sz w:val="24"/>
          <w:szCs w:val="24"/>
          <w:lang w:val="it-IT"/>
        </w:rPr>
        <w:t>Şedinţele de Consiliu Local sunt arhivate şi se află pe portalul Primăriei Municipiului Timişoara, putând fi accesate în orice moment de cei interesaţi.</w:t>
      </w:r>
    </w:p>
    <w:p w:rsidR="00A853F5" w:rsidRPr="00C307E8" w:rsidRDefault="003370F0" w:rsidP="00C307E8">
      <w:pPr>
        <w:spacing w:after="0" w:line="240" w:lineRule="auto"/>
        <w:ind w:right="-29" w:firstLine="720"/>
        <w:jc w:val="both"/>
        <w:rPr>
          <w:rFonts w:ascii="Times New Roman" w:hAnsi="Times New Roman"/>
          <w:color w:val="000000" w:themeColor="text1"/>
          <w:sz w:val="24"/>
          <w:szCs w:val="24"/>
          <w:lang w:val="fr-FR"/>
        </w:rPr>
      </w:pPr>
      <w:r w:rsidRPr="00C307E8">
        <w:rPr>
          <w:rFonts w:ascii="Times New Roman" w:hAnsi="Times New Roman"/>
          <w:color w:val="000000" w:themeColor="text1"/>
          <w:sz w:val="24"/>
          <w:szCs w:val="24"/>
          <w:lang w:val="fr-FR"/>
        </w:rPr>
        <w:t>Toate aceste mecanisme de informatizare ale Primăriei Timişoara au fost premiate atât în ţară, cât şi în străinătate.</w:t>
      </w:r>
    </w:p>
    <w:p w:rsidR="00F03FC8" w:rsidRDefault="00F03FC8" w:rsidP="00A853F5">
      <w:pPr>
        <w:spacing w:after="0" w:line="240" w:lineRule="auto"/>
        <w:ind w:right="-29" w:firstLine="720"/>
        <w:jc w:val="both"/>
        <w:rPr>
          <w:rFonts w:ascii="Times New Roman" w:hAnsi="Times New Roman" w:cs="Times New Roman"/>
          <w:b/>
          <w:sz w:val="24"/>
          <w:szCs w:val="24"/>
          <w:lang w:val="fr-FR"/>
        </w:rPr>
      </w:pPr>
    </w:p>
    <w:p w:rsidR="0034222F" w:rsidRDefault="00686E2B" w:rsidP="0034222F">
      <w:pPr>
        <w:spacing w:after="60" w:line="240" w:lineRule="auto"/>
        <w:ind w:firstLine="720"/>
        <w:jc w:val="both"/>
        <w:rPr>
          <w:rFonts w:ascii="Times New Roman" w:hAnsi="Times New Roman" w:cs="Times New Roman"/>
          <w:b/>
          <w:sz w:val="24"/>
          <w:szCs w:val="24"/>
          <w:lang w:val="fr-FR"/>
        </w:rPr>
      </w:pPr>
      <w:r>
        <w:rPr>
          <w:rFonts w:ascii="Times New Roman" w:hAnsi="Times New Roman" w:cs="Times New Roman"/>
          <w:b/>
          <w:sz w:val="24"/>
          <w:szCs w:val="24"/>
          <w:lang w:val="fr-FR"/>
        </w:rPr>
        <w:t>Structuri asociative</w:t>
      </w:r>
    </w:p>
    <w:p w:rsidR="0034222F" w:rsidRDefault="0034222F" w:rsidP="0034222F">
      <w:pPr>
        <w:spacing w:after="0" w:line="24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În exercitarea misiunii lor, autoritățile publice din arealul Polului de creștere Timișoara colaborează strâns și cu </w:t>
      </w:r>
      <w:r w:rsidRPr="0034222F">
        <w:rPr>
          <w:rFonts w:ascii="Times New Roman" w:hAnsi="Times New Roman" w:cs="Times New Roman"/>
          <w:i/>
          <w:sz w:val="24"/>
          <w:szCs w:val="24"/>
          <w:lang w:val="fr-FR"/>
        </w:rPr>
        <w:t>structuri asociative</w:t>
      </w:r>
      <w:r>
        <w:rPr>
          <w:rFonts w:ascii="Times New Roman" w:hAnsi="Times New Roman" w:cs="Times New Roman"/>
          <w:sz w:val="24"/>
          <w:szCs w:val="24"/>
          <w:lang w:val="fr-FR"/>
        </w:rPr>
        <w:t>, inițiative ale societății civile, ale agenților economici sau ale structurilor administrative, al căror scop este creșterea performanței social-economice, îmbunătățirea calității vieții populației locale și promovarea valorilor specifice, în concordanță cu obiectivele europene ale Strategiei Europa 2020. Asociațiile din care face parte și Municipiul Timișoara sunt :</w:t>
      </w:r>
    </w:p>
    <w:p w:rsidR="0034222F"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sz w:val="24"/>
          <w:szCs w:val="24"/>
          <w:lang w:val="ro-RO"/>
        </w:rPr>
      </w:pPr>
      <w:r w:rsidRPr="00017170">
        <w:rPr>
          <w:rFonts w:ascii="Times New Roman" w:hAnsi="Times New Roman" w:cs="Times New Roman"/>
          <w:b/>
          <w:sz w:val="24"/>
          <w:szCs w:val="24"/>
          <w:lang w:val="ro-RO"/>
        </w:rPr>
        <w:t>Asociaţia de Dezvoltare Intercomunitară</w:t>
      </w:r>
      <w:r w:rsidRPr="00017170">
        <w:rPr>
          <w:rFonts w:ascii="Times New Roman" w:hAnsi="Times New Roman" w:cs="Times New Roman"/>
          <w:b/>
          <w:i/>
          <w:sz w:val="24"/>
          <w:szCs w:val="24"/>
          <w:lang w:val="ro-RO"/>
        </w:rPr>
        <w:t xml:space="preserve"> „Polul de Creştere Timişoara”</w:t>
      </w:r>
      <w:r w:rsidRPr="00E73D4C">
        <w:rPr>
          <w:rFonts w:ascii="Times New Roman" w:hAnsi="Times New Roman" w:cs="Times New Roman"/>
          <w:i/>
          <w:sz w:val="24"/>
          <w:szCs w:val="24"/>
          <w:lang w:val="ro-RO"/>
        </w:rPr>
        <w:t xml:space="preserve">, </w:t>
      </w:r>
      <w:r w:rsidRPr="00E73D4C">
        <w:rPr>
          <w:rFonts w:ascii="Times New Roman" w:hAnsi="Times New Roman" w:cs="Times New Roman"/>
          <w:sz w:val="24"/>
          <w:szCs w:val="24"/>
          <w:lang w:val="ro-RO"/>
        </w:rPr>
        <w:t>înființată în februarie 2009 (în baza H.G nr. 998/27.08.2008 pentru desemnarea polilor naţionali de creştere), în scopul cooperării între unităţile administrativ teritoriale membre, pentru realizarea în comun a unor proiecte de dezvoltare de interes zonal sau regional ori al furnizării în comun a unor servicii publice.</w:t>
      </w:r>
      <w:r w:rsidRPr="00E73D4C">
        <w:rPr>
          <w:rFonts w:ascii="Times New Roman" w:hAnsi="Times New Roman" w:cs="Times New Roman"/>
          <w:i/>
          <w:sz w:val="24"/>
          <w:szCs w:val="24"/>
          <w:lang w:val="ro-RO"/>
        </w:rPr>
        <w:t xml:space="preserve"> Obiectivul general al Asociaţiei</w:t>
      </w:r>
      <w:r w:rsidRPr="00E73D4C">
        <w:rPr>
          <w:rFonts w:ascii="Times New Roman" w:hAnsi="Times New Roman" w:cs="Times New Roman"/>
          <w:sz w:val="24"/>
          <w:szCs w:val="24"/>
          <w:lang w:val="ro-RO"/>
        </w:rPr>
        <w:t xml:space="preserve"> este creşterea calităţii vieţii </w:t>
      </w:r>
      <w:r w:rsidRPr="00E73D4C">
        <w:rPr>
          <w:rFonts w:ascii="Times New Roman" w:hAnsi="Times New Roman" w:cs="Times New Roman"/>
          <w:sz w:val="24"/>
          <w:szCs w:val="24"/>
          <w:lang w:val="ro-RO"/>
        </w:rPr>
        <w:lastRenderedPageBreak/>
        <w:t xml:space="preserve">şi crearea de noi locuri de muncă în Polul de Creştere Timişoara, prin reabilitarea infrastructurii urbane şi îmbunăţirea serviciilor urbane, inclusiv a serviciilor sociale, precum şi prin dezvoltarea structurilor de sprijinire a afacerilor şi a antreprenoriatului. Pentru a-şi asigura o cât mai bună reprezentare a intereselor în faţa autorităţilor naţionale,  Asociaţia de Dezvoltare Intercomunitară </w:t>
      </w:r>
      <w:r w:rsidRPr="00E73D4C">
        <w:rPr>
          <w:rFonts w:ascii="Times New Roman" w:hAnsi="Times New Roman" w:cs="Times New Roman"/>
          <w:i/>
          <w:sz w:val="24"/>
          <w:szCs w:val="24"/>
          <w:lang w:val="ro-RO"/>
        </w:rPr>
        <w:t>„Polul de Creştere Timişoara”</w:t>
      </w:r>
      <w:r w:rsidRPr="00E73D4C">
        <w:rPr>
          <w:rFonts w:ascii="Times New Roman" w:hAnsi="Times New Roman" w:cs="Times New Roman"/>
          <w:sz w:val="24"/>
          <w:szCs w:val="24"/>
          <w:lang w:val="ro-RO"/>
        </w:rPr>
        <w:t xml:space="preserve"> a aderat la </w:t>
      </w:r>
      <w:r w:rsidRPr="00E73D4C">
        <w:rPr>
          <w:rFonts w:ascii="Times New Roman" w:hAnsi="Times New Roman" w:cs="Times New Roman"/>
          <w:i/>
          <w:sz w:val="24"/>
          <w:szCs w:val="24"/>
          <w:lang w:val="ro-RO"/>
        </w:rPr>
        <w:t>Federaţia Naţională a Zonelor Metropolitane şi Aglomerărilor Urbane din România (FZMAUR)</w:t>
      </w:r>
      <w:r w:rsidRPr="00E73D4C">
        <w:rPr>
          <w:rFonts w:ascii="Times New Roman" w:hAnsi="Times New Roman" w:cs="Times New Roman"/>
          <w:sz w:val="24"/>
          <w:szCs w:val="24"/>
          <w:lang w:val="ro-RO"/>
        </w:rPr>
        <w:t xml:space="preserve">, fiind membru activ al acesteia. </w:t>
      </w:r>
    </w:p>
    <w:p w:rsidR="0034222F"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sz w:val="24"/>
          <w:szCs w:val="24"/>
          <w:lang w:val="ro-RO"/>
        </w:rPr>
      </w:pPr>
      <w:r w:rsidRPr="00017170">
        <w:rPr>
          <w:rFonts w:ascii="Times New Roman" w:hAnsi="Times New Roman" w:cs="Times New Roman"/>
          <w:b/>
          <w:sz w:val="24"/>
          <w:szCs w:val="24"/>
          <w:lang w:val="ro-RO"/>
        </w:rPr>
        <w:t xml:space="preserve">Asociaţia </w:t>
      </w:r>
      <w:r w:rsidRPr="00017170">
        <w:rPr>
          <w:rFonts w:ascii="Times New Roman" w:hAnsi="Times New Roman" w:cs="Times New Roman"/>
          <w:b/>
          <w:i/>
          <w:sz w:val="24"/>
          <w:szCs w:val="24"/>
          <w:lang w:val="ro-RO"/>
        </w:rPr>
        <w:t>„Automotivest”</w:t>
      </w:r>
      <w:r w:rsidRPr="00017170">
        <w:rPr>
          <w:rFonts w:ascii="Times New Roman" w:hAnsi="Times New Roman" w:cs="Times New Roman"/>
          <w:b/>
          <w:sz w:val="24"/>
          <w:szCs w:val="24"/>
          <w:lang w:val="ro-RO"/>
        </w:rPr>
        <w:t xml:space="preserve"> </w:t>
      </w:r>
      <w:r w:rsidRPr="00E73D4C">
        <w:rPr>
          <w:rFonts w:ascii="Times New Roman" w:hAnsi="Times New Roman" w:cs="Times New Roman"/>
          <w:sz w:val="24"/>
          <w:szCs w:val="24"/>
          <w:lang w:val="ro-RO"/>
        </w:rPr>
        <w:t xml:space="preserve">a fost constituită în anul 2007, în scopul creşterii competitivităţii pe piaţă a membrilor reţelei de tip „cluster” din Regiunea Vest pentru industria auto. Membrii asociaţiei sunt ADR Vest, SC Interpart Production SRL, SC Inteliform SRL, CCIAT, CCIAA, Municipiul Arad, Municipiul Timişoara, </w:t>
      </w:r>
      <w:r w:rsidRPr="00E73D4C">
        <w:rPr>
          <w:rFonts w:ascii="Times New Roman" w:hAnsi="Times New Roman" w:cs="Times New Roman"/>
          <w:bCs/>
          <w:sz w:val="24"/>
          <w:szCs w:val="24"/>
          <w:lang w:val="ro-RO"/>
        </w:rPr>
        <w:t>ISIM Timişoara</w:t>
      </w:r>
      <w:r w:rsidRPr="00E73D4C">
        <w:rPr>
          <w:rFonts w:ascii="Times New Roman" w:hAnsi="Times New Roman" w:cs="Times New Roman"/>
          <w:b/>
          <w:bCs/>
          <w:sz w:val="24"/>
          <w:szCs w:val="24"/>
          <w:lang w:val="ro-RO"/>
        </w:rPr>
        <w:t xml:space="preserve">, </w:t>
      </w:r>
      <w:r w:rsidRPr="00E73D4C">
        <w:rPr>
          <w:rFonts w:ascii="Times New Roman" w:hAnsi="Times New Roman" w:cs="Times New Roman"/>
          <w:bCs/>
          <w:sz w:val="24"/>
          <w:szCs w:val="24"/>
          <w:lang w:val="ro-RO"/>
        </w:rPr>
        <w:t>SC Dura Automotive Romania SRL,</w:t>
      </w:r>
      <w:r w:rsidRPr="00E73D4C">
        <w:rPr>
          <w:rFonts w:ascii="Times New Roman" w:hAnsi="Times New Roman" w:cs="Times New Roman"/>
          <w:b/>
          <w:bCs/>
          <w:sz w:val="24"/>
          <w:szCs w:val="24"/>
          <w:lang w:val="ro-RO"/>
        </w:rPr>
        <w:t xml:space="preserve"> </w:t>
      </w:r>
      <w:r w:rsidRPr="00E73D4C">
        <w:rPr>
          <w:rFonts w:ascii="Times New Roman" w:hAnsi="Times New Roman" w:cs="Times New Roman"/>
          <w:bCs/>
          <w:sz w:val="24"/>
          <w:szCs w:val="24"/>
          <w:lang w:val="ro-RO"/>
        </w:rPr>
        <w:t>SC Nutechnologies SRL, SC Yazaki Component Technology SRL, INCEMC Timişoara, Asociaţia Tehimpuls,  Fundaţia Româno-Germană de Pregătire şi Perfecţionare Profesională în Domeniul Construcţiilor Timişoara, SC Continental Automotive Romania SRL, SC Centrul de Prelucrări Metalice Bocşa,</w:t>
      </w:r>
      <w:r w:rsidRPr="00E73D4C">
        <w:rPr>
          <w:rFonts w:ascii="Times New Roman" w:hAnsi="Times New Roman" w:cs="Times New Roman"/>
          <w:b/>
          <w:bCs/>
          <w:sz w:val="24"/>
          <w:szCs w:val="24"/>
          <w:lang w:val="ro-RO"/>
        </w:rPr>
        <w:t xml:space="preserve"> </w:t>
      </w:r>
      <w:r w:rsidRPr="00E73D4C">
        <w:rPr>
          <w:rFonts w:ascii="Times New Roman" w:hAnsi="Times New Roman" w:cs="Times New Roman"/>
          <w:sz w:val="24"/>
          <w:szCs w:val="24"/>
          <w:lang w:val="ro-RO"/>
        </w:rPr>
        <w:t xml:space="preserve">Universitatea Politehnica Timişoara şi Univeristatea Aurel Vlaicu Arad. Asociaţia şi-a propus ca </w:t>
      </w:r>
      <w:r w:rsidRPr="00E73D4C">
        <w:rPr>
          <w:rFonts w:ascii="Times New Roman" w:hAnsi="Times New Roman" w:cs="Times New Roman"/>
          <w:i/>
          <w:sz w:val="24"/>
          <w:szCs w:val="24"/>
          <w:lang w:val="ro-RO"/>
        </w:rPr>
        <w:t>obiectiv</w:t>
      </w:r>
      <w:r w:rsidRPr="00E73D4C">
        <w:rPr>
          <w:rFonts w:ascii="Times New Roman" w:hAnsi="Times New Roman" w:cs="Times New Roman"/>
          <w:sz w:val="24"/>
          <w:szCs w:val="24"/>
          <w:lang w:val="ro-RO"/>
        </w:rPr>
        <w:t xml:space="preserve"> dezvoltarea şi creşterea competitivităţii sectorului automotive în Regiunea de Vest. În acest sens a oferit sprijin firmelor de profil din zonă şi a implementat proiecte de pregătire. Municipiul Timişoara în calitate de membru al asociaţiei, prin persoanele desemnate, este reprezentat în Adunarea Generală a Asociaţilor.</w:t>
      </w:r>
    </w:p>
    <w:p w:rsidR="0034222F"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sz w:val="24"/>
          <w:szCs w:val="24"/>
          <w:lang w:val="ro-RO"/>
        </w:rPr>
      </w:pPr>
      <w:r w:rsidRPr="00017170">
        <w:rPr>
          <w:rFonts w:ascii="Times New Roman" w:hAnsi="Times New Roman" w:cs="Times New Roman"/>
          <w:b/>
          <w:sz w:val="24"/>
          <w:szCs w:val="24"/>
          <w:lang w:val="ro-RO"/>
        </w:rPr>
        <w:t xml:space="preserve">Asociaţia </w:t>
      </w:r>
      <w:r w:rsidRPr="00017170">
        <w:rPr>
          <w:rFonts w:ascii="Times New Roman" w:hAnsi="Times New Roman" w:cs="Times New Roman"/>
          <w:b/>
          <w:i/>
          <w:sz w:val="24"/>
          <w:szCs w:val="24"/>
          <w:lang w:val="ro-RO"/>
        </w:rPr>
        <w:t>„Clusterul Regional Tehnologia Informaţiei şi a Comunicaţiilor Regiunea Vest, România”</w:t>
      </w:r>
      <w:r w:rsidRPr="00017170">
        <w:rPr>
          <w:rFonts w:ascii="Times New Roman" w:hAnsi="Times New Roman" w:cs="Times New Roman"/>
          <w:i/>
          <w:sz w:val="24"/>
          <w:szCs w:val="24"/>
          <w:lang w:val="ro-RO"/>
        </w:rPr>
        <w:t xml:space="preserve">, </w:t>
      </w:r>
      <w:r w:rsidRPr="00017170">
        <w:rPr>
          <w:rFonts w:ascii="Times New Roman" w:hAnsi="Times New Roman" w:cs="Times New Roman"/>
          <w:sz w:val="24"/>
          <w:szCs w:val="24"/>
          <w:lang w:val="ro-RO"/>
        </w:rPr>
        <w:t>din care Municipiul Timișoara face parte încă de la fondare, în anul 2011, alături de reprezentanţi ai autorităţilor publice (Consiliul Judeţean Timiş, Consiliul Judeţean Caraş Severin, Consiliul Judeţean Arad, Agenţia pentru Dezvoltare Economico-Socială a judeţului Hunedoara din cadrul Consiliului Judeţean Hunedoara, Primăria Arad, Primăria Deva şi Primăria Reşiţa) şi ai Agenţiei de Dezvoltare Economică Timiş, reprezentanţi ai mediului universitar (Universitatea „Politehnica” din Timişoara, Universitatea de Vest din Timişoara, Universitatea „Aurel Vlaicu” din Arad), reprezentanţi ai mediului de afaceri (IBM România, Alcatel Lucent România, Kathrein România, LASTING Systems, ETA2U, OCE Software România, Deltatel, Vox Filemakers Solutions, Genisoft, ACI Worldwide, SSI Schaeffer, Berg Computers), precum şi reprezentanţi ai Institutului E-Austria Timişoara şi ai Agenţiei pentru Dezvoltare Regională Vest, organism neguvernamental, nonprofit şi care reuneşte principalii actori regionali din sectorul TIC -  IMM-uri, multinaţionale, universităţi şi administraţie publică din Regiunea de Vest.</w:t>
      </w:r>
      <w:r>
        <w:rPr>
          <w:rFonts w:ascii="Times New Roman" w:hAnsi="Times New Roman" w:cs="Times New Roman"/>
          <w:sz w:val="24"/>
          <w:szCs w:val="24"/>
          <w:lang w:val="ro-RO"/>
        </w:rPr>
        <w:t xml:space="preserve"> </w:t>
      </w:r>
      <w:r w:rsidRPr="00017170">
        <w:rPr>
          <w:rFonts w:ascii="Times New Roman" w:hAnsi="Times New Roman" w:cs="Times New Roman"/>
          <w:i/>
          <w:sz w:val="24"/>
          <w:szCs w:val="24"/>
          <w:lang w:val="ro-RO"/>
        </w:rPr>
        <w:t>Obiectivul strategic al clusterului</w:t>
      </w:r>
      <w:r w:rsidRPr="00017170">
        <w:rPr>
          <w:rFonts w:ascii="Times New Roman" w:hAnsi="Times New Roman" w:cs="Times New Roman"/>
          <w:sz w:val="24"/>
          <w:szCs w:val="24"/>
          <w:lang w:val="ro-RO"/>
        </w:rPr>
        <w:t xml:space="preserve"> este promovarea şi susţinerea întreprinderilor regionale din sector pentru a deveni actori pe piaţa globală, generatori de produse proprii, cu valoare adăugată, sub un brand regional puternic. Prin crearea acestui cluster, se deschid noi oportunităţi de finanţare în sprijinul firmelor din sectorul Tehnologiei Informaţiei şi a Comunicaţiilor şi, implicit, de dezvoltare economică a Regiunii de Vest.</w:t>
      </w:r>
    </w:p>
    <w:p w:rsidR="0034222F"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sz w:val="24"/>
          <w:szCs w:val="24"/>
          <w:lang w:val="ro-RO"/>
        </w:rPr>
      </w:pPr>
      <w:r w:rsidRPr="00017170">
        <w:rPr>
          <w:rFonts w:ascii="Times New Roman" w:hAnsi="Times New Roman" w:cs="Times New Roman"/>
          <w:b/>
          <w:sz w:val="24"/>
          <w:szCs w:val="24"/>
          <w:lang w:val="ro-RO"/>
        </w:rPr>
        <w:t xml:space="preserve">Asociaţia Clusterul pentru Turism Banat </w:t>
      </w:r>
      <w:r w:rsidRPr="00017170">
        <w:rPr>
          <w:rFonts w:ascii="Times New Roman" w:hAnsi="Times New Roman" w:cs="Times New Roman"/>
          <w:b/>
          <w:i/>
          <w:sz w:val="24"/>
          <w:szCs w:val="24"/>
          <w:lang w:val="ro-RO"/>
        </w:rPr>
        <w:t>CLUSTURBANAT</w:t>
      </w:r>
      <w:r w:rsidRPr="00017170">
        <w:rPr>
          <w:rFonts w:ascii="Times New Roman" w:hAnsi="Times New Roman" w:cs="Times New Roman"/>
          <w:sz w:val="24"/>
          <w:szCs w:val="24"/>
          <w:lang w:val="ro-RO"/>
        </w:rPr>
        <w:t xml:space="preserve">. </w:t>
      </w:r>
      <w:r w:rsidRPr="00017170">
        <w:rPr>
          <w:rFonts w:ascii="Times New Roman" w:hAnsi="Times New Roman" w:cs="Times New Roman"/>
          <w:color w:val="000000"/>
          <w:sz w:val="24"/>
          <w:szCs w:val="24"/>
          <w:shd w:val="clear" w:color="auto" w:fill="FFFFFF"/>
          <w:lang w:val="ro-RO"/>
        </w:rPr>
        <w:t xml:space="preserve">Scopul principal al asociaţiei </w:t>
      </w:r>
      <w:r w:rsidRPr="00017170">
        <w:rPr>
          <w:rFonts w:ascii="Times New Roman" w:hAnsi="Times New Roman" w:cs="Times New Roman"/>
          <w:sz w:val="24"/>
          <w:szCs w:val="24"/>
          <w:lang w:val="ro-RO"/>
        </w:rPr>
        <w:t>este de a contribui la armonizarea politicilor, strategiilor şi acţiunilor concrete în domeniul turismului cu cerinţele complexe, generale sau specifice ale mediului economic, social şi cultural, la nivel regional, judeţean şi local.</w:t>
      </w:r>
      <w:r w:rsidRPr="00017170">
        <w:rPr>
          <w:rFonts w:ascii="Times New Roman" w:hAnsi="Times New Roman" w:cs="Times New Roman"/>
          <w:color w:val="000000"/>
          <w:sz w:val="24"/>
          <w:szCs w:val="24"/>
          <w:shd w:val="clear" w:color="auto" w:fill="FFFFFF"/>
          <w:lang w:val="ro-RO"/>
        </w:rPr>
        <w:t xml:space="preserve"> Asociaţia are 22 de membri fondatori, printre care Consiliul Judeţean Timiş, Consiliul Local Timişoara, ADR Vest, ADETIM, Camera de Comerţ, Industrie şi Agricultură, Universitatea de Vest Timişoara, societăţile care </w:t>
      </w:r>
      <w:r w:rsidRPr="00017170">
        <w:rPr>
          <w:rFonts w:ascii="Times New Roman" w:hAnsi="Times New Roman" w:cs="Times New Roman"/>
          <w:color w:val="000000"/>
          <w:sz w:val="24"/>
          <w:szCs w:val="24"/>
          <w:shd w:val="clear" w:color="auto" w:fill="FFFFFF"/>
          <w:lang w:val="ro-RO"/>
        </w:rPr>
        <w:lastRenderedPageBreak/>
        <w:t>administrează staţiunile Buziaş şi Călacea, agenţii, operatori de turism şi firmele care se ocupă cu instruirea personalului sau care asigură servicii pentru evenimente.</w:t>
      </w:r>
      <w:r w:rsidRPr="00017170">
        <w:rPr>
          <w:rStyle w:val="apple-converted-space"/>
          <w:rFonts w:ascii="Times New Roman" w:hAnsi="Times New Roman" w:cs="Times New Roman"/>
          <w:color w:val="000000"/>
          <w:sz w:val="24"/>
          <w:szCs w:val="24"/>
          <w:shd w:val="clear" w:color="auto" w:fill="FFFFFF"/>
          <w:lang w:val="ro-RO"/>
        </w:rPr>
        <w:t xml:space="preserve"> Printre obiectivele clusterului se numără: </w:t>
      </w:r>
      <w:r w:rsidRPr="00017170">
        <w:rPr>
          <w:rFonts w:ascii="Times New Roman" w:hAnsi="Times New Roman" w:cs="Times New Roman"/>
          <w:sz w:val="24"/>
          <w:szCs w:val="24"/>
          <w:lang w:val="ro-RO"/>
        </w:rPr>
        <w:t>promovarea şi dezvoltarea competitivă a cercetării, educaţiei, inovării; promovarea şi susţinerea de iniţiative legislative menite să reglementeze aspecte de interes pentru sectorul de activitate; sprijinirea integrării ofertei de educaţie cu nevoile reale ale mediului de afaceri din domeniul turismului; creşterea accesibilităţii la finanţările europene şi internaţionale în baza unei strategii şi a unui pachet integrat de proiecte; intermedierea de parteneriate şi cooperări internaţionale; realizarea unui centru de dezvoltare şi training pentru sectorul de turism; promovarea destinaţiilor turistice locale, judeţene şi regionale.</w:t>
      </w:r>
    </w:p>
    <w:p w:rsidR="0034222F"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sz w:val="24"/>
          <w:szCs w:val="24"/>
          <w:lang w:val="ro-RO"/>
        </w:rPr>
      </w:pPr>
      <w:r w:rsidRPr="00017170">
        <w:rPr>
          <w:rFonts w:ascii="Times New Roman" w:hAnsi="Times New Roman" w:cs="Times New Roman"/>
          <w:b/>
          <w:bCs/>
          <w:kern w:val="36"/>
          <w:sz w:val="24"/>
          <w:szCs w:val="24"/>
          <w:lang w:val="ro-RO"/>
        </w:rPr>
        <w:t>Asociaţia de Dezvoltare Intercomunitară Deşeuri Timiş</w:t>
      </w:r>
      <w:r w:rsidRPr="00017170">
        <w:rPr>
          <w:rFonts w:ascii="Times New Roman" w:hAnsi="Times New Roman" w:cs="Times New Roman"/>
          <w:bCs/>
          <w:kern w:val="36"/>
          <w:sz w:val="24"/>
          <w:szCs w:val="24"/>
          <w:lang w:val="ro-RO"/>
        </w:rPr>
        <w:t>. Aceasta s-a</w:t>
      </w:r>
      <w:r w:rsidRPr="00017170">
        <w:rPr>
          <w:rFonts w:ascii="Times New Roman" w:hAnsi="Times New Roman" w:cs="Times New Roman"/>
          <w:sz w:val="24"/>
          <w:szCs w:val="24"/>
          <w:lang w:val="ro-RO"/>
        </w:rPr>
        <w:t xml:space="preserve"> constituit în scopul înfiinţării, organizării, reglementării, exploatării, monitorizării şi gestionării în comun a serviciului de salubrizare a localităţilor, pe raza de competenţă a unităţilor administrativ-teritoriale membre, precum şi realizarea în comun a unor proiecte de investiţii publice de interes zonal sau regional destinate înfiinţării, modernizării şi/ sau dezvoltării, după caz, a sistemelor de utilităţi publice aferente Serviciului, pe baza strategiei de dezvoltare a acestuia. Interesul comun ce stă la baza constituirii Asociaţiei este interesul general al locuitorilor de pe raza unităţilor administrativ-teritoriale membre pentru îmbunătăţirea calităţii serviciilor de salubrizare, în condiţiile unor tarife şi/sau taxe care să respecte limitele de suportabilitate ale populaţiei şi principiul „poluatorul plăteşte”, atingerea şi respectarea standardelor europene privind protecţia mediului, precum şi creşterea capacităţii de atragere a fondurilor pentru finanţarea investiţiilor necesare în infrastructura tehnico-edilitară aferentă Serviciului.</w:t>
      </w:r>
    </w:p>
    <w:p w:rsidR="0034222F" w:rsidRPr="00017170"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b/>
          <w:sz w:val="24"/>
          <w:szCs w:val="24"/>
          <w:lang w:val="ro-RO"/>
        </w:rPr>
      </w:pPr>
      <w:r w:rsidRPr="00017170">
        <w:rPr>
          <w:rFonts w:ascii="Times New Roman" w:hAnsi="Times New Roman" w:cs="Times New Roman"/>
          <w:b/>
          <w:bCs/>
          <w:kern w:val="36"/>
          <w:sz w:val="24"/>
          <w:szCs w:val="24"/>
          <w:lang w:val="ro-RO"/>
        </w:rPr>
        <w:t xml:space="preserve">Asociaţia de Dezvoltare Intercomunitară Apă - Canal Timiş, </w:t>
      </w:r>
      <w:r w:rsidRPr="00017170">
        <w:rPr>
          <w:rFonts w:ascii="Times New Roman" w:eastAsia="AGaramondPro-Regular" w:hAnsi="Times New Roman" w:cs="Times New Roman"/>
          <w:sz w:val="24"/>
          <w:szCs w:val="24"/>
          <w:lang w:val="ro-RO"/>
        </w:rPr>
        <w:t xml:space="preserve">structura cu personalitate juridică ale cărei responsabilităţi sunt în zona serviciilor de alimentare cu apă şi de canalizare, pe raza de competenţă a unităţilor administrativ-teritoriale membre. </w:t>
      </w:r>
      <w:r w:rsidRPr="00017170">
        <w:rPr>
          <w:rFonts w:ascii="Times New Roman" w:hAnsi="Times New Roman" w:cs="Times New Roman"/>
          <w:sz w:val="24"/>
          <w:szCs w:val="24"/>
          <w:lang w:val="fr-FR"/>
        </w:rPr>
        <w:t>Scopul înfiinţării acestei asociaţii este de a elabora strategia judeţului pentru infrastructura de apă - canal. Autorităţile speră ca, până în 2018, să nu mai existe localitate Timişeană fără reţea de apă si canalizare.</w:t>
      </w:r>
    </w:p>
    <w:p w:rsidR="0034222F" w:rsidRPr="00017170"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b/>
          <w:sz w:val="24"/>
          <w:szCs w:val="24"/>
          <w:lang w:val="ro-RO"/>
        </w:rPr>
      </w:pPr>
      <w:r w:rsidRPr="00017170">
        <w:rPr>
          <w:rFonts w:ascii="Times New Roman" w:hAnsi="Times New Roman" w:cs="Times New Roman"/>
          <w:b/>
          <w:bCs/>
          <w:kern w:val="36"/>
          <w:sz w:val="24"/>
          <w:szCs w:val="24"/>
          <w:lang w:val="ro-RO"/>
        </w:rPr>
        <w:t>Asociaţia Clusterul de Energii Sustenabile din România ROSENC</w:t>
      </w:r>
      <w:r w:rsidRPr="00017170">
        <w:rPr>
          <w:rFonts w:ascii="Times New Roman" w:hAnsi="Times New Roman" w:cs="Times New Roman"/>
          <w:sz w:val="24"/>
          <w:szCs w:val="24"/>
          <w:lang w:val="ro-RO"/>
        </w:rPr>
        <w:t xml:space="preserve"> este o asociaţie cu personalitate juridică română, de drept privat fără scop patrimonial, neguvernamentală, non-profit, apolitică şi independentă, care funcţionează potrivit legislaţiei române (OG nr. 26/2000) şi a statutului său. </w:t>
      </w:r>
      <w:r w:rsidRPr="00017170">
        <w:rPr>
          <w:rFonts w:ascii="Times New Roman" w:hAnsi="Times New Roman" w:cs="Times New Roman"/>
          <w:sz w:val="24"/>
          <w:szCs w:val="24"/>
          <w:lang w:val="fr-FR"/>
        </w:rPr>
        <w:t>Particularitatea asociaţiei de tip Cluster este faptul că membrii săi provin în mod obligatoriu din cele trei medii: privat, cercetare - dezvoltare şi public. Scopul Asociaţiei îl reprezintă promovarea României şi a Regiunii Vest, pe termen lung, ca lider în sectoarele energiilor regenerabile, eficienţei energetice şi noilor energii sustenabile şi participarea în reţelele internaţionale ca partener sau coordonator de proiecte pentru creşterea competitivităţii organizaţiilor din asociaţie, prin cooperare naţională şi internaţională.</w:t>
      </w:r>
    </w:p>
    <w:p w:rsidR="0034222F" w:rsidRPr="00017170" w:rsidRDefault="0034222F" w:rsidP="0034222F">
      <w:pPr>
        <w:pStyle w:val="ListParagraph"/>
        <w:numPr>
          <w:ilvl w:val="0"/>
          <w:numId w:val="6"/>
        </w:numPr>
        <w:tabs>
          <w:tab w:val="left" w:pos="360"/>
          <w:tab w:val="left" w:pos="9360"/>
        </w:tabs>
        <w:spacing w:after="0" w:line="240" w:lineRule="auto"/>
        <w:ind w:left="360" w:hanging="274"/>
        <w:jc w:val="both"/>
        <w:rPr>
          <w:rFonts w:ascii="Times New Roman" w:hAnsi="Times New Roman" w:cs="Times New Roman"/>
          <w:b/>
          <w:sz w:val="24"/>
          <w:szCs w:val="24"/>
          <w:lang w:val="ro-RO"/>
        </w:rPr>
      </w:pPr>
      <w:r w:rsidRPr="00017170">
        <w:rPr>
          <w:rFonts w:ascii="Times New Roman" w:hAnsi="Times New Roman" w:cs="Times New Roman"/>
          <w:b/>
          <w:sz w:val="24"/>
          <w:szCs w:val="24"/>
          <w:lang w:val="ro-RO"/>
        </w:rPr>
        <w:t xml:space="preserve">Asociaţia </w:t>
      </w:r>
      <w:r w:rsidRPr="00017170">
        <w:rPr>
          <w:rFonts w:ascii="Times New Roman" w:hAnsi="Times New Roman" w:cs="Times New Roman"/>
          <w:b/>
          <w:i/>
          <w:sz w:val="24"/>
          <w:szCs w:val="24"/>
          <w:lang w:val="ro-RO"/>
        </w:rPr>
        <w:t>„Societatea Metropolitană de Transport Timişoara”</w:t>
      </w:r>
      <w:r w:rsidRPr="00017170">
        <w:rPr>
          <w:rFonts w:ascii="Times New Roman" w:hAnsi="Times New Roman" w:cs="Times New Roman"/>
          <w:b/>
          <w:sz w:val="24"/>
          <w:szCs w:val="24"/>
          <w:lang w:val="ro-RO"/>
        </w:rPr>
        <w:t xml:space="preserve"> </w:t>
      </w:r>
      <w:r w:rsidRPr="00017170">
        <w:rPr>
          <w:rFonts w:ascii="Times New Roman" w:hAnsi="Times New Roman" w:cs="Times New Roman"/>
          <w:sz w:val="24"/>
          <w:szCs w:val="24"/>
          <w:lang w:val="ro-RO"/>
        </w:rPr>
        <w:t xml:space="preserve">s-a constituit în anul 2009, în scopul dezvoltării intercomunitare a transportului public de persoane între Timişoara şi localităţile învecinate. </w:t>
      </w:r>
      <w:r w:rsidRPr="00017170">
        <w:rPr>
          <w:rFonts w:ascii="Times New Roman" w:hAnsi="Times New Roman" w:cs="Times New Roman"/>
          <w:sz w:val="24"/>
          <w:szCs w:val="24"/>
          <w:lang w:val="it-IT"/>
        </w:rPr>
        <w:t>În prezent, serviciul de transport metropolitan se desfăşoară pe următoarele rute</w:t>
      </w:r>
      <w:r w:rsidRPr="00017170">
        <w:rPr>
          <w:rFonts w:ascii="Times New Roman" w:hAnsi="Times New Roman" w:cs="Times New Roman"/>
          <w:sz w:val="24"/>
          <w:szCs w:val="24"/>
          <w:lang w:val="fr-FR"/>
        </w:rPr>
        <w:t>:</w:t>
      </w:r>
    </w:p>
    <w:p w:rsidR="0034222F" w:rsidRPr="00017170" w:rsidRDefault="0034222F" w:rsidP="0034222F">
      <w:pPr>
        <w:pStyle w:val="BodyText"/>
        <w:tabs>
          <w:tab w:val="left" w:pos="0"/>
          <w:tab w:val="left" w:pos="9360"/>
        </w:tabs>
        <w:spacing w:after="0"/>
        <w:ind w:right="180"/>
        <w:jc w:val="both"/>
        <w:outlineLvl w:val="0"/>
        <w:rPr>
          <w:sz w:val="22"/>
          <w:szCs w:val="22"/>
          <w:lang w:val="it-IT"/>
        </w:rPr>
      </w:pPr>
      <w:r>
        <w:rPr>
          <w:rFonts w:ascii="Arial" w:hAnsi="Arial" w:cs="Arial"/>
          <w:lang w:val="it-IT"/>
        </w:rPr>
        <w:t xml:space="preserve">                 </w:t>
      </w:r>
      <w:r w:rsidRPr="00017170">
        <w:rPr>
          <w:sz w:val="22"/>
          <w:szCs w:val="22"/>
          <w:lang w:val="it-IT"/>
        </w:rPr>
        <w:t>► M30 – Timişoara – Ghiroda</w:t>
      </w:r>
    </w:p>
    <w:p w:rsidR="0034222F" w:rsidRPr="00017170" w:rsidRDefault="0034222F" w:rsidP="0034222F">
      <w:pPr>
        <w:pStyle w:val="BodyText"/>
        <w:tabs>
          <w:tab w:val="left" w:pos="0"/>
          <w:tab w:val="left" w:pos="9360"/>
        </w:tabs>
        <w:spacing w:after="0"/>
        <w:ind w:right="180"/>
        <w:jc w:val="both"/>
        <w:outlineLvl w:val="0"/>
        <w:rPr>
          <w:sz w:val="22"/>
          <w:szCs w:val="22"/>
          <w:lang w:val="it-IT"/>
        </w:rPr>
      </w:pPr>
      <w:r w:rsidRPr="00017170">
        <w:rPr>
          <w:sz w:val="22"/>
          <w:szCs w:val="22"/>
          <w:lang w:val="it-IT"/>
        </w:rPr>
        <w:t xml:space="preserve">                 ► M35 – Timişoara – Giarmata Vii</w:t>
      </w:r>
    </w:p>
    <w:p w:rsidR="0034222F" w:rsidRPr="00017170" w:rsidRDefault="0034222F" w:rsidP="0034222F">
      <w:pPr>
        <w:pStyle w:val="BodyText"/>
        <w:tabs>
          <w:tab w:val="left" w:pos="0"/>
          <w:tab w:val="left" w:pos="9360"/>
        </w:tabs>
        <w:spacing w:after="0"/>
        <w:ind w:right="180"/>
        <w:jc w:val="both"/>
        <w:outlineLvl w:val="0"/>
        <w:rPr>
          <w:sz w:val="22"/>
          <w:szCs w:val="22"/>
          <w:lang w:val="it-IT"/>
        </w:rPr>
      </w:pPr>
      <w:r w:rsidRPr="00017170">
        <w:rPr>
          <w:sz w:val="22"/>
          <w:szCs w:val="22"/>
          <w:lang w:val="it-IT"/>
        </w:rPr>
        <w:t xml:space="preserve">               </w:t>
      </w:r>
      <w:r>
        <w:rPr>
          <w:sz w:val="22"/>
          <w:szCs w:val="22"/>
          <w:lang w:val="it-IT"/>
        </w:rPr>
        <w:t xml:space="preserve">  ► M36 – Timişoara – Utvin – Sânmihaiu Român – Sâ</w:t>
      </w:r>
      <w:r w:rsidRPr="00017170">
        <w:rPr>
          <w:sz w:val="22"/>
          <w:szCs w:val="22"/>
          <w:lang w:val="it-IT"/>
        </w:rPr>
        <w:t>nmihaiu German</w:t>
      </w:r>
    </w:p>
    <w:p w:rsidR="0034222F" w:rsidRPr="00017170" w:rsidRDefault="0034222F" w:rsidP="0034222F">
      <w:pPr>
        <w:pStyle w:val="BodyText"/>
        <w:tabs>
          <w:tab w:val="left" w:pos="0"/>
          <w:tab w:val="left" w:pos="9360"/>
        </w:tabs>
        <w:spacing w:after="0"/>
        <w:ind w:right="180"/>
        <w:jc w:val="both"/>
        <w:outlineLvl w:val="0"/>
        <w:rPr>
          <w:sz w:val="22"/>
          <w:szCs w:val="22"/>
          <w:lang w:val="it-IT"/>
        </w:rPr>
      </w:pPr>
      <w:r w:rsidRPr="00017170">
        <w:rPr>
          <w:sz w:val="22"/>
          <w:szCs w:val="22"/>
          <w:lang w:val="it-IT"/>
        </w:rPr>
        <w:t xml:space="preserve">                 ► M44 – Timişoara – Becicherecu Mic</w:t>
      </w:r>
    </w:p>
    <w:p w:rsidR="0034222F" w:rsidRPr="00017170" w:rsidRDefault="0034222F" w:rsidP="0034222F">
      <w:pPr>
        <w:pStyle w:val="BodyText"/>
        <w:tabs>
          <w:tab w:val="left" w:pos="0"/>
          <w:tab w:val="left" w:pos="9360"/>
        </w:tabs>
        <w:spacing w:after="0"/>
        <w:ind w:right="180"/>
        <w:jc w:val="both"/>
        <w:outlineLvl w:val="0"/>
        <w:rPr>
          <w:sz w:val="22"/>
          <w:szCs w:val="22"/>
          <w:lang w:val="ro-RO"/>
        </w:rPr>
      </w:pPr>
      <w:r w:rsidRPr="00017170">
        <w:rPr>
          <w:sz w:val="22"/>
          <w:szCs w:val="22"/>
          <w:lang w:val="it-IT"/>
        </w:rPr>
        <w:t xml:space="preserve">                 ► M45 – Timiş</w:t>
      </w:r>
      <w:r w:rsidRPr="00017170">
        <w:rPr>
          <w:sz w:val="22"/>
          <w:szCs w:val="22"/>
          <w:lang w:val="ro-RO"/>
        </w:rPr>
        <w:t xml:space="preserve">oara </w:t>
      </w:r>
      <w:r w:rsidRPr="00017170">
        <w:rPr>
          <w:sz w:val="22"/>
          <w:szCs w:val="22"/>
          <w:lang w:val="it-IT"/>
        </w:rPr>
        <w:t>– Dumbrăviţa</w:t>
      </w:r>
    </w:p>
    <w:p w:rsidR="0034222F" w:rsidRDefault="0034222F" w:rsidP="0034222F">
      <w:pPr>
        <w:pStyle w:val="BodyText"/>
        <w:numPr>
          <w:ilvl w:val="0"/>
          <w:numId w:val="6"/>
        </w:numPr>
        <w:tabs>
          <w:tab w:val="left" w:pos="360"/>
          <w:tab w:val="left" w:pos="9450"/>
        </w:tabs>
        <w:spacing w:after="0"/>
        <w:ind w:left="360" w:right="-44" w:hanging="270"/>
        <w:jc w:val="both"/>
        <w:outlineLvl w:val="0"/>
        <w:rPr>
          <w:sz w:val="24"/>
          <w:szCs w:val="24"/>
          <w:lang w:val="it-IT"/>
        </w:rPr>
      </w:pPr>
      <w:r w:rsidRPr="0034222F">
        <w:rPr>
          <w:b/>
          <w:sz w:val="24"/>
          <w:szCs w:val="24"/>
          <w:lang w:val="it-IT"/>
        </w:rPr>
        <w:lastRenderedPageBreak/>
        <w:t xml:space="preserve">Asociaţia Localităţilor şi Zonelor Istorice şi de Artă din România </w:t>
      </w:r>
      <w:r w:rsidRPr="0034222F">
        <w:rPr>
          <w:b/>
          <w:i/>
          <w:sz w:val="24"/>
          <w:szCs w:val="24"/>
          <w:lang w:val="it-IT"/>
        </w:rPr>
        <w:t xml:space="preserve">ALZIAR, </w:t>
      </w:r>
      <w:r w:rsidRPr="0034222F">
        <w:rPr>
          <w:sz w:val="24"/>
          <w:szCs w:val="24"/>
          <w:lang w:val="it-IT"/>
        </w:rPr>
        <w:t>la care Municipiul Timişoara a aderat în anul 2011. Asociaţia este o organizaţie neguvernamentală având ca obiectiv principal conservarea, protejarea şi valorificarea patrimoniului cultural (conform HCL  360/25.10.2011). ALZIAR a luat fiinţă la data de 15 iunie 2004 la iniţiativa Ministerului Transporturilor, Construcţiilor şi Turismului din România, municipiilor Alba Iulia şi Târgovişte şi Asociaţiei franceze a oraşelor şi regiunilor de artă şi istorie şi oraşelor cu zone protejate. Sediul asociaţiei este în municipiul Târgovişte, Bd. Calea Domnească nr. 208. Asociaţia are în prezent 32 de membri – 14 consilii judeţene şi 18 primării. În cadrul acestei asociaţii, autorităţile locale din România cu patrimoniu cultural pot acţiona într-un cadru organizat pentru crearea unui cadru legislativ coerent care să identifice, să protejeze şi să introducă în circuitele turistice zonele istorice, culturale şi artistice, dezvoltarea unei strategii naţionale unitare, conformă cu reglementările europene în domeniu, şi promovarea  acestui patrimoniu cultural la nivel local, regional, naţional, european şi internaţional. De asemenea, asociaţia oferă consultanţă membrilor pentru elaborarea de proiecte pentru atragerea de finanţări externe şi asistenţă în stabilirea de microparteneriate cu persoane şi organizaţii din străinătate.</w:t>
      </w:r>
    </w:p>
    <w:p w:rsidR="00BD1FE7" w:rsidRDefault="00BD1FE7" w:rsidP="00BD1FE7">
      <w:pPr>
        <w:numPr>
          <w:ilvl w:val="0"/>
          <w:numId w:val="6"/>
        </w:numPr>
        <w:spacing w:after="0" w:line="240" w:lineRule="auto"/>
        <w:ind w:left="360" w:hanging="270"/>
        <w:jc w:val="both"/>
        <w:rPr>
          <w:rFonts w:ascii="Times New Roman" w:hAnsi="Times New Roman"/>
          <w:sz w:val="24"/>
          <w:szCs w:val="24"/>
          <w:lang w:val="ro-RO"/>
        </w:rPr>
      </w:pPr>
      <w:r w:rsidRPr="00BD1FE7">
        <w:rPr>
          <w:rFonts w:ascii="Times New Roman" w:hAnsi="Times New Roman"/>
          <w:b/>
          <w:sz w:val="24"/>
          <w:szCs w:val="24"/>
          <w:lang w:val="ro-RO"/>
        </w:rPr>
        <w:t xml:space="preserve">Asociația pentru Managementul Energiei, </w:t>
      </w:r>
      <w:r w:rsidRPr="00BD1FE7">
        <w:rPr>
          <w:rFonts w:ascii="Times New Roman" w:hAnsi="Times New Roman"/>
          <w:sz w:val="24"/>
          <w:szCs w:val="24"/>
          <w:lang w:val="ro-RO"/>
        </w:rPr>
        <w:t>în care Municipiul Timisoara este membru:</w:t>
      </w:r>
    </w:p>
    <w:p w:rsidR="00BD1FE7" w:rsidRDefault="00BD1FE7" w:rsidP="00BD1FE7">
      <w:pPr>
        <w:spacing w:after="0" w:line="240" w:lineRule="auto"/>
        <w:ind w:left="360"/>
        <w:jc w:val="both"/>
        <w:rPr>
          <w:rFonts w:ascii="Times New Roman" w:hAnsi="Times New Roman"/>
          <w:sz w:val="24"/>
          <w:szCs w:val="24"/>
          <w:lang w:val="ro-RO"/>
        </w:rPr>
      </w:pPr>
      <w:r w:rsidRPr="00BD1FE7">
        <w:rPr>
          <w:rFonts w:ascii="Times New Roman" w:hAnsi="Times New Roman"/>
          <w:sz w:val="24"/>
          <w:szCs w:val="24"/>
          <w:lang w:val="ro-RO"/>
        </w:rPr>
        <w:t>Asociația pentru Managementul Energiei - AMET este o instituţie independentă, un organism calificat, care îşi desfăşoară activitatea în interes comunitar şi al cărei obiectiv principal este de a participa la dezvoltarea sustenabilă a judeţului Timiş şi a regiunii, prin promovarea eficienţei energetice şi a utilizării resurselor neconvenţionale de energie.</w:t>
      </w:r>
      <w:r w:rsidRPr="00BD1FE7">
        <w:rPr>
          <w:rFonts w:ascii="Verdana" w:eastAsia="Times New Roman" w:hAnsi="Verdana"/>
          <w:color w:val="000000"/>
          <w:sz w:val="12"/>
          <w:szCs w:val="12"/>
          <w:lang w:val="ro-RO"/>
        </w:rPr>
        <w:t xml:space="preserve"> </w:t>
      </w:r>
      <w:r w:rsidRPr="00A41DB0">
        <w:rPr>
          <w:rFonts w:ascii="Times New Roman" w:hAnsi="Times New Roman"/>
          <w:sz w:val="24"/>
          <w:szCs w:val="24"/>
          <w:lang w:val="ro-RO"/>
        </w:rPr>
        <w:t>Scopul  pr</w:t>
      </w:r>
      <w:r>
        <w:rPr>
          <w:rFonts w:ascii="Times New Roman" w:hAnsi="Times New Roman"/>
          <w:sz w:val="24"/>
          <w:szCs w:val="24"/>
          <w:lang w:val="ro-RO"/>
        </w:rPr>
        <w:t>i</w:t>
      </w:r>
      <w:r w:rsidRPr="00A41DB0">
        <w:rPr>
          <w:rFonts w:ascii="Times New Roman" w:hAnsi="Times New Roman"/>
          <w:sz w:val="24"/>
          <w:szCs w:val="24"/>
          <w:lang w:val="ro-RO"/>
        </w:rPr>
        <w:t xml:space="preserve">ncipal al AMET este promovarea conceptului de energie durabilă şi a principiilor de management  al energiei la nivelul autorităţilor locale, </w:t>
      </w:r>
      <w:r>
        <w:rPr>
          <w:rFonts w:ascii="Times New Roman" w:hAnsi="Times New Roman"/>
          <w:sz w:val="24"/>
          <w:szCs w:val="24"/>
          <w:lang w:val="ro-RO"/>
        </w:rPr>
        <w:t xml:space="preserve">al </w:t>
      </w:r>
      <w:r w:rsidRPr="00A41DB0">
        <w:rPr>
          <w:rFonts w:ascii="Times New Roman" w:hAnsi="Times New Roman"/>
          <w:sz w:val="24"/>
          <w:szCs w:val="24"/>
          <w:lang w:val="ro-RO"/>
        </w:rPr>
        <w:t>instituţ</w:t>
      </w:r>
      <w:r>
        <w:rPr>
          <w:rFonts w:ascii="Times New Roman" w:hAnsi="Times New Roman"/>
          <w:sz w:val="24"/>
          <w:szCs w:val="24"/>
          <w:lang w:val="ro-RO"/>
        </w:rPr>
        <w:t>iilor de învăţământ și</w:t>
      </w:r>
      <w:r w:rsidRPr="00A41DB0">
        <w:rPr>
          <w:rFonts w:ascii="Times New Roman" w:hAnsi="Times New Roman"/>
          <w:sz w:val="24"/>
          <w:szCs w:val="24"/>
          <w:lang w:val="ro-RO"/>
        </w:rPr>
        <w:t xml:space="preserve"> sănătate, </w:t>
      </w:r>
      <w:r>
        <w:rPr>
          <w:rFonts w:ascii="Times New Roman" w:hAnsi="Times New Roman"/>
          <w:sz w:val="24"/>
          <w:szCs w:val="24"/>
          <w:lang w:val="ro-RO"/>
        </w:rPr>
        <w:t xml:space="preserve">al </w:t>
      </w:r>
      <w:r w:rsidRPr="00A41DB0">
        <w:rPr>
          <w:rFonts w:ascii="Times New Roman" w:hAnsi="Times New Roman"/>
          <w:sz w:val="24"/>
          <w:szCs w:val="24"/>
          <w:lang w:val="ro-RO"/>
        </w:rPr>
        <w:t xml:space="preserve">agenţilor economici, promovarea în plan local, regional şi naţional a </w:t>
      </w:r>
      <w:r w:rsidRPr="00A41DB0">
        <w:rPr>
          <w:rFonts w:ascii="Times New Roman" w:hAnsi="Times New Roman"/>
          <w:i/>
          <w:sz w:val="24"/>
          <w:szCs w:val="24"/>
          <w:lang w:val="ro-RO"/>
        </w:rPr>
        <w:t>Acquis</w:t>
      </w:r>
      <w:r w:rsidRPr="00A41DB0">
        <w:rPr>
          <w:rFonts w:ascii="Times New Roman" w:hAnsi="Times New Roman"/>
          <w:sz w:val="24"/>
          <w:szCs w:val="24"/>
          <w:lang w:val="ro-RO"/>
        </w:rPr>
        <w:t>-ului comunitar al politicii energetice europene, încurajarea pătrunderii pe piaţa locală a tehnologiilor regenerabile şi a tehnologiilor de eficientizare energetică, schimbarea mentalităţii şi comportamentului utilizatorilor de energie și promovarea la nivel local, regional, naţional, european şi internaţional a intereselor locale şi atragerea de finanţatori pentru programele şi proiectele locale de dezvoltare economică şi socială specifice domeniului energiei, protejării mediului, precum şi altor domenii în le</w:t>
      </w:r>
      <w:r>
        <w:rPr>
          <w:rFonts w:ascii="Times New Roman" w:hAnsi="Times New Roman"/>
          <w:sz w:val="24"/>
          <w:szCs w:val="24"/>
          <w:lang w:val="ro-RO"/>
        </w:rPr>
        <w:t>gătură cu acestea.</w:t>
      </w:r>
    </w:p>
    <w:p w:rsidR="00BD1FE7" w:rsidRDefault="00BD1FE7" w:rsidP="00BD1FE7">
      <w:pPr>
        <w:numPr>
          <w:ilvl w:val="0"/>
          <w:numId w:val="6"/>
        </w:numPr>
        <w:spacing w:after="0" w:line="240" w:lineRule="auto"/>
        <w:ind w:left="450"/>
        <w:jc w:val="both"/>
        <w:rPr>
          <w:rFonts w:ascii="Times New Roman" w:hAnsi="Times New Roman"/>
          <w:b/>
          <w:sz w:val="24"/>
          <w:szCs w:val="24"/>
          <w:lang w:val="ro-RO"/>
        </w:rPr>
      </w:pPr>
      <w:r w:rsidRPr="00BD1FE7">
        <w:rPr>
          <w:rFonts w:ascii="Times New Roman" w:hAnsi="Times New Roman"/>
          <w:b/>
          <w:sz w:val="24"/>
          <w:szCs w:val="24"/>
          <w:lang w:val="ro-RO"/>
        </w:rPr>
        <w:t>Asociația de Dezvoltare Intercomunitară Pădurea Bistra</w:t>
      </w:r>
    </w:p>
    <w:p w:rsidR="00BD1FE7" w:rsidRPr="00BD1FE7" w:rsidRDefault="00BD1FE7" w:rsidP="00BD1FE7">
      <w:pPr>
        <w:spacing w:after="0" w:line="240" w:lineRule="auto"/>
        <w:ind w:left="450"/>
        <w:jc w:val="both"/>
        <w:rPr>
          <w:rFonts w:ascii="Times New Roman" w:hAnsi="Times New Roman"/>
          <w:b/>
          <w:sz w:val="24"/>
          <w:szCs w:val="24"/>
          <w:lang w:val="ro-RO"/>
        </w:rPr>
      </w:pPr>
      <w:r w:rsidRPr="00BD1FE7">
        <w:rPr>
          <w:rFonts w:ascii="Times New Roman" w:hAnsi="Times New Roman"/>
          <w:sz w:val="24"/>
          <w:szCs w:val="24"/>
          <w:lang w:val="ro-RO"/>
        </w:rPr>
        <w:t xml:space="preserve">Asociația de Dezvoltare Intercomunitară Pădurea Bistra a fost creată prin </w:t>
      </w:r>
      <w:r w:rsidRPr="00BD1FE7">
        <w:rPr>
          <w:rFonts w:ascii="Times New Roman" w:hAnsi="Times New Roman"/>
          <w:sz w:val="23"/>
          <w:szCs w:val="23"/>
          <w:lang w:val="ro-RO"/>
        </w:rPr>
        <w:t>asocierea Municipiului Timişoara cu Oraşul Recaş</w:t>
      </w:r>
      <w:r>
        <w:rPr>
          <w:rFonts w:ascii="Times New Roman" w:hAnsi="Times New Roman"/>
          <w:sz w:val="23"/>
          <w:szCs w:val="23"/>
          <w:lang w:val="ro-RO"/>
        </w:rPr>
        <w:t xml:space="preserve"> și Comunele</w:t>
      </w:r>
      <w:r w:rsidRPr="00BD1FE7">
        <w:rPr>
          <w:rFonts w:ascii="Times New Roman" w:hAnsi="Times New Roman"/>
          <w:sz w:val="23"/>
          <w:szCs w:val="23"/>
          <w:lang w:val="ro-RO"/>
        </w:rPr>
        <w:t xml:space="preserve"> Bucovăț, Ghiroda şi Moşniţa Nouă</w:t>
      </w:r>
      <w:r>
        <w:rPr>
          <w:rFonts w:ascii="Times New Roman" w:hAnsi="Times New Roman"/>
          <w:sz w:val="23"/>
          <w:szCs w:val="23"/>
          <w:lang w:val="ro-RO"/>
        </w:rPr>
        <w:t>,</w:t>
      </w:r>
      <w:r w:rsidRPr="00BD1FE7">
        <w:rPr>
          <w:rFonts w:ascii="Times New Roman" w:hAnsi="Times New Roman"/>
          <w:sz w:val="23"/>
          <w:szCs w:val="23"/>
          <w:lang w:val="ro-RO"/>
        </w:rPr>
        <w:t xml:space="preserve"> </w:t>
      </w:r>
      <w:r>
        <w:rPr>
          <w:rFonts w:ascii="Times New Roman" w:hAnsi="Times New Roman"/>
          <w:sz w:val="23"/>
          <w:szCs w:val="23"/>
          <w:lang w:val="ro-RO"/>
        </w:rPr>
        <w:t>î</w:t>
      </w:r>
      <w:r w:rsidRPr="00BD1FE7">
        <w:rPr>
          <w:rFonts w:ascii="Times New Roman" w:hAnsi="Times New Roman"/>
          <w:sz w:val="23"/>
          <w:szCs w:val="23"/>
          <w:lang w:val="ro-RO"/>
        </w:rPr>
        <w:t>n scopul conservării şi protejării biodiversităţii, prin implementarea unor proiecte în concordanţă cu prevederile Programului European „LIFE Natură şi Biodiversitate”, prin asigurarea unei colaborări regionale, naţionale şi internaţionale.</w:t>
      </w:r>
      <w:r>
        <w:rPr>
          <w:rFonts w:ascii="Times New Roman" w:hAnsi="Times New Roman"/>
          <w:sz w:val="23"/>
          <w:szCs w:val="23"/>
          <w:lang w:val="ro-RO"/>
        </w:rPr>
        <w:t xml:space="preserve"> </w:t>
      </w:r>
      <w:r w:rsidRPr="00507762">
        <w:rPr>
          <w:rFonts w:ascii="Times New Roman" w:hAnsi="Times New Roman"/>
          <w:sz w:val="23"/>
          <w:szCs w:val="23"/>
          <w:lang w:val="ro-RO"/>
        </w:rPr>
        <w:t>Obiectivele acestei asociaţii sunt</w:t>
      </w:r>
      <w:r>
        <w:rPr>
          <w:rFonts w:ascii="Times New Roman" w:hAnsi="Times New Roman"/>
          <w:sz w:val="23"/>
          <w:szCs w:val="23"/>
          <w:lang w:val="ro-RO"/>
        </w:rPr>
        <w:t>,</w:t>
      </w:r>
      <w:r w:rsidRPr="00507762">
        <w:rPr>
          <w:rFonts w:ascii="Times New Roman" w:hAnsi="Times New Roman"/>
          <w:sz w:val="23"/>
          <w:szCs w:val="23"/>
          <w:lang w:val="ro-RO"/>
        </w:rPr>
        <w:t xml:space="preserve"> printre altele</w:t>
      </w:r>
      <w:r>
        <w:rPr>
          <w:rFonts w:ascii="Times New Roman" w:hAnsi="Times New Roman"/>
          <w:sz w:val="23"/>
          <w:szCs w:val="23"/>
          <w:lang w:val="ro-RO"/>
        </w:rPr>
        <w:t>,</w:t>
      </w:r>
      <w:r w:rsidRPr="00507762">
        <w:rPr>
          <w:rFonts w:ascii="Times New Roman" w:hAnsi="Times New Roman"/>
          <w:sz w:val="23"/>
          <w:szCs w:val="23"/>
          <w:lang w:val="ro-RO"/>
        </w:rPr>
        <w:t xml:space="preserve"> obţinerea unor finanţări şi implementarea proiectelor propuse</w:t>
      </w:r>
      <w:r>
        <w:rPr>
          <w:rFonts w:ascii="Times New Roman" w:hAnsi="Times New Roman"/>
          <w:sz w:val="23"/>
          <w:szCs w:val="23"/>
          <w:lang w:val="ro-RO"/>
        </w:rPr>
        <w:t>,</w:t>
      </w:r>
      <w:r w:rsidRPr="00507762">
        <w:rPr>
          <w:rFonts w:ascii="Times New Roman" w:hAnsi="Times New Roman"/>
          <w:sz w:val="23"/>
          <w:szCs w:val="23"/>
          <w:lang w:val="ro-RO"/>
        </w:rPr>
        <w:t xml:space="preserve"> prin programe ca Programul „LIFE” sau Programul de cooperare transfrontalieră</w:t>
      </w:r>
      <w:r>
        <w:rPr>
          <w:rFonts w:ascii="Times New Roman" w:hAnsi="Times New Roman"/>
          <w:sz w:val="23"/>
          <w:szCs w:val="23"/>
          <w:lang w:val="ro-RO"/>
        </w:rPr>
        <w:t>,</w:t>
      </w:r>
      <w:r w:rsidRPr="00507762">
        <w:rPr>
          <w:rFonts w:ascii="Times New Roman" w:hAnsi="Times New Roman"/>
          <w:sz w:val="23"/>
          <w:szCs w:val="23"/>
          <w:lang w:val="ro-RO"/>
        </w:rPr>
        <w:t xml:space="preserve"> prin care asociaţia poate depune proiecte în vederea îndeplinirii scopului propus, educarea populaţiei în vederea protejării naturii, conservării biodiversităţii, crearea unor programe cu caracter educativ şi recreativ.</w:t>
      </w:r>
      <w:r>
        <w:rPr>
          <w:rFonts w:ascii="Times New Roman" w:hAnsi="Times New Roman"/>
          <w:sz w:val="24"/>
          <w:szCs w:val="24"/>
          <w:lang w:val="ro-RO"/>
        </w:rPr>
        <w:t>”</w:t>
      </w:r>
    </w:p>
    <w:p w:rsidR="0034222F" w:rsidRDefault="0034222F" w:rsidP="00A853F5">
      <w:pPr>
        <w:spacing w:after="0" w:line="240" w:lineRule="auto"/>
        <w:ind w:right="-29" w:firstLine="720"/>
        <w:jc w:val="both"/>
        <w:rPr>
          <w:rFonts w:ascii="Times New Roman" w:hAnsi="Times New Roman" w:cs="Times New Roman"/>
          <w:b/>
          <w:sz w:val="24"/>
          <w:szCs w:val="24"/>
          <w:lang w:val="it-IT"/>
        </w:rPr>
      </w:pPr>
    </w:p>
    <w:p w:rsidR="00A853F5" w:rsidRPr="001C6255" w:rsidRDefault="00A853F5" w:rsidP="0072394C">
      <w:pPr>
        <w:spacing w:after="60" w:line="240" w:lineRule="auto"/>
        <w:ind w:right="-29" w:firstLine="720"/>
        <w:jc w:val="both"/>
        <w:rPr>
          <w:rFonts w:ascii="Times New Roman" w:hAnsi="Times New Roman" w:cs="Times New Roman"/>
          <w:b/>
          <w:sz w:val="24"/>
          <w:szCs w:val="24"/>
          <w:lang w:val="it-IT"/>
        </w:rPr>
      </w:pPr>
      <w:r w:rsidRPr="001C6255">
        <w:rPr>
          <w:rFonts w:ascii="Times New Roman" w:hAnsi="Times New Roman" w:cs="Times New Roman"/>
          <w:b/>
          <w:sz w:val="24"/>
          <w:szCs w:val="24"/>
          <w:lang w:val="it-IT"/>
        </w:rPr>
        <w:t xml:space="preserve">FACILITĂŢI ADMINISTRATIVE </w:t>
      </w:r>
    </w:p>
    <w:p w:rsidR="00A853F5" w:rsidRPr="00F03FC8" w:rsidRDefault="00A853F5" w:rsidP="00A853F5">
      <w:pPr>
        <w:pStyle w:val="BodyTextIndent"/>
        <w:tabs>
          <w:tab w:val="left" w:pos="720"/>
          <w:tab w:val="left" w:pos="3960"/>
        </w:tabs>
        <w:spacing w:after="0"/>
        <w:ind w:left="0" w:right="-29"/>
        <w:jc w:val="both"/>
      </w:pPr>
      <w:r w:rsidRPr="00F03FC8">
        <w:tab/>
        <w:t xml:space="preserve">În conformitate cu strategia de dezvoltare a administraţiei publice locale, eficientizarea sistemului administrativ şi reducerea birocraţiei în vederea accelerării şi facilitării accesului pe piaţă a investitorilor reprezintă o prioritate. Încă din anii 2000, administraţia publică din </w:t>
      </w:r>
      <w:r w:rsidRPr="00F03FC8">
        <w:lastRenderedPageBreak/>
        <w:t xml:space="preserve">Timişoara a fost preocupată de îmbunătăţirea mediului de afaceri inclusiv prin reducerea procedurilor birocratice şi acordarea de facilităţi pentru investitori în vederea stabilirii şi dezvoltării companiilor în Timişoara, prin implementarea programului „Să facem afaceri simplu şi rapid”. În urma finalizării acestuia, Timişoara a fost primul oraş din România care a primit calificativul „oraş de 5 stele”, adică „oraş deschis la investiţii”. </w:t>
      </w:r>
    </w:p>
    <w:p w:rsidR="00A853F5" w:rsidRPr="00F03FC8" w:rsidRDefault="00A853F5" w:rsidP="00A853F5">
      <w:pPr>
        <w:pStyle w:val="BodyTextIndent"/>
        <w:tabs>
          <w:tab w:val="left" w:pos="720"/>
          <w:tab w:val="left" w:pos="3960"/>
        </w:tabs>
        <w:spacing w:after="0"/>
        <w:ind w:left="0" w:right="-29"/>
        <w:jc w:val="both"/>
      </w:pPr>
      <w:r w:rsidRPr="00F03FC8">
        <w:tab/>
        <w:t>Prin Hotărârea Consiliului Local nr. 132/28.09.2012 modificată de Hotărârea Consiliului Local nr.614/10.12.2013</w:t>
      </w:r>
      <w:r w:rsidRPr="0072394C">
        <w:rPr>
          <w:color w:val="000000" w:themeColor="text1"/>
        </w:rPr>
        <w:t>,</w:t>
      </w:r>
      <w:r w:rsidRPr="00F03FC8">
        <w:t xml:space="preserve"> autorităţile locale din Timişoara au aprobat o schemă de ajutor de minimis pentru atragerea de investiţii şi crearea de noi locuri de muncă pe teritoriul municipiului Timişoara. Facilităţile fiscale care se pot acorda întreprinderilor în cadrul acestei scheme de minimis, pentru realizarea unei investiţii iniţiale, constau în reducerea sau scutirea de la plata impozitului pe clădiri şi a impozitului pe teren, în funcţie de valoarea investiţiilor efectuate şi a numărului de noi locuri de muncă create ca urmare a realizării investiţiilor, cu condiţia menţinerii investiţiilor şi a locurilor de muncă nou create pentru o perioadă de minim 5 ani</w:t>
      </w:r>
      <w:r w:rsidR="0072394C">
        <w:t xml:space="preserve"> (tabelul 1)</w:t>
      </w:r>
      <w:r w:rsidRPr="00F03FC8">
        <w:t>.</w:t>
      </w:r>
    </w:p>
    <w:p w:rsidR="00A853F5" w:rsidRPr="00A853F5" w:rsidRDefault="00A853F5" w:rsidP="00A853F5">
      <w:pPr>
        <w:pStyle w:val="BodyTextIndent"/>
        <w:tabs>
          <w:tab w:val="left" w:pos="720"/>
          <w:tab w:val="left" w:pos="3960"/>
        </w:tabs>
        <w:spacing w:after="0"/>
        <w:ind w:left="0" w:right="-29"/>
        <w:jc w:val="both"/>
        <w:rPr>
          <w:sz w:val="22"/>
          <w:szCs w:val="22"/>
        </w:rPr>
      </w:pPr>
    </w:p>
    <w:p w:rsidR="00A853F5" w:rsidRPr="00A853F5" w:rsidRDefault="0072394C" w:rsidP="00A853F5">
      <w:pPr>
        <w:pStyle w:val="BodyTextIndent"/>
        <w:tabs>
          <w:tab w:val="left" w:pos="720"/>
          <w:tab w:val="left" w:pos="3960"/>
        </w:tabs>
        <w:spacing w:after="0"/>
        <w:ind w:left="0" w:right="-29"/>
        <w:jc w:val="center"/>
        <w:rPr>
          <w:b/>
          <w:sz w:val="20"/>
          <w:szCs w:val="20"/>
        </w:rPr>
      </w:pPr>
      <w:r>
        <w:rPr>
          <w:b/>
          <w:sz w:val="20"/>
          <w:szCs w:val="20"/>
        </w:rPr>
        <w:t xml:space="preserve">Tabelul 1. </w:t>
      </w:r>
      <w:r w:rsidR="00A853F5" w:rsidRPr="00A853F5">
        <w:rPr>
          <w:b/>
          <w:sz w:val="20"/>
          <w:szCs w:val="20"/>
        </w:rPr>
        <w:t>Facilităţile fiscale acordate întreprinderilor în cadrul schemei de minimis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1"/>
        <w:gridCol w:w="1616"/>
        <w:gridCol w:w="3312"/>
        <w:gridCol w:w="2523"/>
      </w:tblGrid>
      <w:tr w:rsidR="00A853F5" w:rsidRPr="00A853F5" w:rsidTr="00017170">
        <w:tc>
          <w:tcPr>
            <w:tcW w:w="2229" w:type="dxa"/>
            <w:vMerge w:val="restart"/>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Valoarea investiţiei</w:t>
            </w:r>
          </w:p>
        </w:tc>
        <w:tc>
          <w:tcPr>
            <w:tcW w:w="1659" w:type="dxa"/>
            <w:vMerge w:val="restart"/>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Nr. locuri de muncă nou create</w:t>
            </w:r>
          </w:p>
        </w:tc>
        <w:tc>
          <w:tcPr>
            <w:tcW w:w="6019" w:type="dxa"/>
            <w:gridSpan w:val="2"/>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Facilităţi acordate*</w:t>
            </w:r>
          </w:p>
        </w:tc>
      </w:tr>
      <w:tr w:rsidR="00A853F5" w:rsidRPr="003370F0" w:rsidTr="00017170">
        <w:tc>
          <w:tcPr>
            <w:tcW w:w="2229" w:type="dxa"/>
            <w:vMerge/>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p>
        </w:tc>
        <w:tc>
          <w:tcPr>
            <w:tcW w:w="1659" w:type="dxa"/>
            <w:vMerge/>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p>
        </w:tc>
        <w:tc>
          <w:tcPr>
            <w:tcW w:w="3420"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Reducerea impozitului pe clădiri (%)</w:t>
            </w:r>
          </w:p>
        </w:tc>
        <w:tc>
          <w:tcPr>
            <w:tcW w:w="259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Scutire de impozitul pe teren</w:t>
            </w:r>
          </w:p>
        </w:tc>
      </w:tr>
      <w:tr w:rsidR="00A853F5" w:rsidRPr="00A853F5" w:rsidTr="00017170">
        <w:tc>
          <w:tcPr>
            <w:tcW w:w="2229" w:type="dxa"/>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r w:rsidRPr="00A853F5">
              <w:rPr>
                <w:rFonts w:eastAsia="Calibri"/>
                <w:sz w:val="22"/>
                <w:szCs w:val="22"/>
              </w:rPr>
              <w:t>2,5 – 4,99 mil. euro</w:t>
            </w:r>
          </w:p>
        </w:tc>
        <w:tc>
          <w:tcPr>
            <w:tcW w:w="165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≥30</w:t>
            </w:r>
          </w:p>
        </w:tc>
        <w:tc>
          <w:tcPr>
            <w:tcW w:w="3420"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15%</w:t>
            </w:r>
          </w:p>
        </w:tc>
        <w:tc>
          <w:tcPr>
            <w:tcW w:w="259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100%</w:t>
            </w:r>
          </w:p>
        </w:tc>
      </w:tr>
      <w:tr w:rsidR="00A853F5" w:rsidRPr="00A853F5" w:rsidTr="00017170">
        <w:tc>
          <w:tcPr>
            <w:tcW w:w="2229" w:type="dxa"/>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r w:rsidRPr="00A853F5">
              <w:rPr>
                <w:rFonts w:eastAsia="Calibri"/>
                <w:sz w:val="22"/>
                <w:szCs w:val="22"/>
              </w:rPr>
              <w:t>5,0 – 9,99 mil. euro</w:t>
            </w:r>
          </w:p>
        </w:tc>
        <w:tc>
          <w:tcPr>
            <w:tcW w:w="165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 60</w:t>
            </w:r>
          </w:p>
        </w:tc>
        <w:tc>
          <w:tcPr>
            <w:tcW w:w="3420"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20%</w:t>
            </w:r>
          </w:p>
        </w:tc>
        <w:tc>
          <w:tcPr>
            <w:tcW w:w="259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100%</w:t>
            </w:r>
          </w:p>
        </w:tc>
      </w:tr>
      <w:tr w:rsidR="00A853F5" w:rsidRPr="00A853F5" w:rsidTr="00017170">
        <w:tc>
          <w:tcPr>
            <w:tcW w:w="2229" w:type="dxa"/>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r w:rsidRPr="00A853F5">
              <w:rPr>
                <w:rFonts w:eastAsia="Calibri"/>
                <w:sz w:val="22"/>
                <w:szCs w:val="22"/>
              </w:rPr>
              <w:t>10,0 - 14,99 mil. euro</w:t>
            </w:r>
          </w:p>
        </w:tc>
        <w:tc>
          <w:tcPr>
            <w:tcW w:w="165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≥140</w:t>
            </w:r>
          </w:p>
        </w:tc>
        <w:tc>
          <w:tcPr>
            <w:tcW w:w="3420"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30%</w:t>
            </w:r>
          </w:p>
        </w:tc>
        <w:tc>
          <w:tcPr>
            <w:tcW w:w="259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100%</w:t>
            </w:r>
          </w:p>
        </w:tc>
      </w:tr>
      <w:tr w:rsidR="00A853F5" w:rsidRPr="00A853F5" w:rsidTr="00017170">
        <w:tc>
          <w:tcPr>
            <w:tcW w:w="2229" w:type="dxa"/>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r w:rsidRPr="00A853F5">
              <w:rPr>
                <w:rFonts w:eastAsia="Calibri"/>
                <w:sz w:val="22"/>
                <w:szCs w:val="22"/>
              </w:rPr>
              <w:t>15,0 - 19,99 mil. euro</w:t>
            </w:r>
          </w:p>
        </w:tc>
        <w:tc>
          <w:tcPr>
            <w:tcW w:w="165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≥250</w:t>
            </w:r>
          </w:p>
        </w:tc>
        <w:tc>
          <w:tcPr>
            <w:tcW w:w="3420"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40%</w:t>
            </w:r>
          </w:p>
        </w:tc>
        <w:tc>
          <w:tcPr>
            <w:tcW w:w="259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100%</w:t>
            </w:r>
          </w:p>
        </w:tc>
      </w:tr>
      <w:tr w:rsidR="00A853F5" w:rsidRPr="00A853F5" w:rsidTr="00017170">
        <w:tc>
          <w:tcPr>
            <w:tcW w:w="2229" w:type="dxa"/>
          </w:tcPr>
          <w:p w:rsidR="00A853F5" w:rsidRPr="00A853F5" w:rsidRDefault="00A853F5" w:rsidP="00A853F5">
            <w:pPr>
              <w:pStyle w:val="BodyTextIndent"/>
              <w:tabs>
                <w:tab w:val="left" w:pos="720"/>
                <w:tab w:val="left" w:pos="3960"/>
              </w:tabs>
              <w:spacing w:after="0"/>
              <w:ind w:left="0" w:right="-29"/>
              <w:jc w:val="both"/>
              <w:rPr>
                <w:rFonts w:eastAsia="Calibri"/>
                <w:sz w:val="22"/>
                <w:szCs w:val="22"/>
              </w:rPr>
            </w:pPr>
            <w:r w:rsidRPr="00A853F5">
              <w:rPr>
                <w:rFonts w:eastAsia="Calibri"/>
                <w:sz w:val="22"/>
                <w:szCs w:val="22"/>
              </w:rPr>
              <w:t>Peste 20 mil. euro</w:t>
            </w:r>
          </w:p>
        </w:tc>
        <w:tc>
          <w:tcPr>
            <w:tcW w:w="165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 500</w:t>
            </w:r>
          </w:p>
        </w:tc>
        <w:tc>
          <w:tcPr>
            <w:tcW w:w="3420"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80%</w:t>
            </w:r>
          </w:p>
        </w:tc>
        <w:tc>
          <w:tcPr>
            <w:tcW w:w="2599" w:type="dxa"/>
          </w:tcPr>
          <w:p w:rsidR="00A853F5" w:rsidRPr="00A853F5" w:rsidRDefault="00A853F5" w:rsidP="00A853F5">
            <w:pPr>
              <w:pStyle w:val="BodyTextIndent"/>
              <w:tabs>
                <w:tab w:val="left" w:pos="720"/>
                <w:tab w:val="left" w:pos="3960"/>
              </w:tabs>
              <w:spacing w:after="0"/>
              <w:ind w:left="0" w:right="-29"/>
              <w:jc w:val="center"/>
              <w:rPr>
                <w:rFonts w:eastAsia="Calibri"/>
                <w:sz w:val="22"/>
                <w:szCs w:val="22"/>
              </w:rPr>
            </w:pPr>
            <w:r w:rsidRPr="00A853F5">
              <w:rPr>
                <w:rFonts w:eastAsia="Calibri"/>
                <w:sz w:val="22"/>
                <w:szCs w:val="22"/>
              </w:rPr>
              <w:t>100%</w:t>
            </w:r>
          </w:p>
        </w:tc>
      </w:tr>
    </w:tbl>
    <w:p w:rsidR="00A853F5" w:rsidRPr="00A853F5" w:rsidRDefault="00A853F5" w:rsidP="0072394C">
      <w:pPr>
        <w:pStyle w:val="BodyTextIndent"/>
        <w:tabs>
          <w:tab w:val="left" w:pos="720"/>
          <w:tab w:val="left" w:pos="3960"/>
        </w:tabs>
        <w:spacing w:after="0"/>
        <w:ind w:left="0" w:right="-29"/>
        <w:jc w:val="center"/>
        <w:rPr>
          <w:sz w:val="20"/>
          <w:szCs w:val="20"/>
        </w:rPr>
      </w:pPr>
      <w:r w:rsidRPr="00A853F5">
        <w:rPr>
          <w:sz w:val="20"/>
          <w:szCs w:val="20"/>
        </w:rPr>
        <w:t>*Scutirile nu vor putea depăşi pragul de 708.000 lei/an</w:t>
      </w:r>
    </w:p>
    <w:p w:rsidR="00A853F5" w:rsidRPr="00A853F5" w:rsidRDefault="00A853F5" w:rsidP="00A853F5">
      <w:pPr>
        <w:pStyle w:val="BodyTextIndent"/>
        <w:tabs>
          <w:tab w:val="left" w:pos="720"/>
          <w:tab w:val="left" w:pos="3960"/>
        </w:tabs>
        <w:spacing w:after="0"/>
        <w:ind w:right="-29"/>
        <w:jc w:val="both"/>
        <w:rPr>
          <w:sz w:val="22"/>
          <w:szCs w:val="22"/>
          <w:highlight w:val="yellow"/>
        </w:rPr>
      </w:pPr>
    </w:p>
    <w:p w:rsidR="00A853F5" w:rsidRPr="00F03FC8" w:rsidRDefault="00A853F5" w:rsidP="00A853F5">
      <w:pPr>
        <w:pStyle w:val="BodyTextIndent"/>
        <w:tabs>
          <w:tab w:val="left" w:pos="720"/>
          <w:tab w:val="left" w:pos="3960"/>
        </w:tabs>
        <w:spacing w:after="0"/>
        <w:ind w:left="0" w:right="-29"/>
        <w:jc w:val="both"/>
      </w:pPr>
      <w:r w:rsidRPr="00A853F5">
        <w:rPr>
          <w:sz w:val="22"/>
          <w:szCs w:val="22"/>
        </w:rPr>
        <w:tab/>
      </w:r>
      <w:r w:rsidRPr="00F03FC8">
        <w:t xml:space="preserve">Prin Hotărârea Consiliului Local nr.133/28.09.2012 autorităţile locale au aprobat o schema de ajutor de minimis in vederea scutirii de la plata majorărilor de intârziere aferente obligaţiilor fiscale neachitate in termen, constând în impozit/taxa pe cladire şi/sau impozit/taxa pe teren, datorate bugetului local de către intreprinderile de pe raza administrativ teritorială a municipiului Timişoara, precum şi de către persoane juridice fără scop lucrativ care nu desfaşoară activităţi economice. </w:t>
      </w:r>
    </w:p>
    <w:p w:rsidR="00A853F5" w:rsidRPr="00F03FC8" w:rsidRDefault="00A853F5" w:rsidP="00A853F5">
      <w:pPr>
        <w:pStyle w:val="BodyTextIndent"/>
        <w:tabs>
          <w:tab w:val="left" w:pos="720"/>
          <w:tab w:val="left" w:pos="3960"/>
        </w:tabs>
        <w:spacing w:after="0"/>
        <w:ind w:left="0" w:right="-29"/>
        <w:jc w:val="both"/>
      </w:pPr>
      <w:r w:rsidRPr="00F03FC8">
        <w:tab/>
        <w:t>Prin Hotărârea Consiliului Local nr.285/18.12.2012 (art.6 şi anexa 3) autorităţile locale au aprobat scutirea de la plata impozitului pe clădiri pe o perioadă de 7 ani aferent imobilelor reabilitate pentru proprietarii apartamentelor din blocurile de locuinţe şi ai imobilelor care au executat lucrări de intervenţie recomandate de către auditori energetici pe cheltuiala proprie.</w:t>
      </w:r>
    </w:p>
    <w:p w:rsidR="00A853F5" w:rsidRPr="00F03FC8" w:rsidRDefault="00A853F5" w:rsidP="00A853F5">
      <w:pPr>
        <w:pStyle w:val="BodyTextIndent"/>
        <w:tabs>
          <w:tab w:val="left" w:pos="720"/>
          <w:tab w:val="left" w:pos="3960"/>
        </w:tabs>
        <w:spacing w:after="0"/>
        <w:ind w:left="0" w:right="-29"/>
        <w:jc w:val="both"/>
      </w:pPr>
      <w:r w:rsidRPr="00F03FC8">
        <w:tab/>
        <w:t>Prin Hotărârea Consiliului Local nr.237/29.05.2012 s-au stabilit o serie de stimulente fiscale pentru persoanele fizice:</w:t>
      </w:r>
    </w:p>
    <w:p w:rsidR="00A853F5" w:rsidRPr="00F03FC8" w:rsidRDefault="00A853F5" w:rsidP="00A853F5">
      <w:pPr>
        <w:pStyle w:val="BodyTextIndent"/>
        <w:tabs>
          <w:tab w:val="left" w:pos="0"/>
          <w:tab w:val="left" w:pos="3960"/>
        </w:tabs>
        <w:suppressAutoHyphens w:val="0"/>
        <w:spacing w:after="0"/>
        <w:ind w:left="0" w:right="-29"/>
        <w:jc w:val="both"/>
      </w:pPr>
      <w:r w:rsidRPr="00F03FC8">
        <w:t>- scutirea de la plata impozitului pe clădiri pentru locuinţa de domiciliu în anul 2013 pentru montarea şi punerea în funcţiune de panouri sau instalaţii solare pentru încălzirea apei menajere şi / sau încălzirii locuinţelor, respectiv panouri fotovoltaice pentru producerea /stocarea energiei electrice (anexa 4)</w:t>
      </w:r>
    </w:p>
    <w:p w:rsidR="00827ED0" w:rsidRPr="00F03FC8" w:rsidRDefault="00A853F5" w:rsidP="00827ED0">
      <w:pPr>
        <w:pStyle w:val="BodyTextIndent"/>
        <w:tabs>
          <w:tab w:val="left" w:pos="0"/>
          <w:tab w:val="left" w:pos="3960"/>
        </w:tabs>
        <w:suppressAutoHyphens w:val="0"/>
        <w:spacing w:after="0"/>
        <w:ind w:left="0" w:right="-29"/>
        <w:jc w:val="both"/>
      </w:pPr>
      <w:r w:rsidRPr="00F03FC8">
        <w:t xml:space="preserve">- scutirea de la plata impozitului pe clădiri pentru locuinţa de domiciliu în anul 2013 proporţional cu efortul financiar al contribuabilului (20% lucrarea de reabilitare realizată prin intermediul programelor guvernamentale şi 100% lucrearea de reabilitare realizată exclusiv din venituri proprii) la care au fost realizate următoarele lucrări: înlocuire tâmplărie exterioară a clădirii cu </w:t>
      </w:r>
      <w:r w:rsidRPr="00F03FC8">
        <w:lastRenderedPageBreak/>
        <w:t>tâmplărie din geam termopan; înlocuire acoperişuri tip terasă cu acoperişuri tip şarpantă sau refacerere acoperişuri vechi tip şarpantă; izolaţii termice şi hidro la faţadele şi terasele imobilelor.</w:t>
      </w:r>
    </w:p>
    <w:p w:rsidR="00827ED0" w:rsidRPr="00F03FC8" w:rsidRDefault="00827ED0" w:rsidP="00827ED0">
      <w:pPr>
        <w:pStyle w:val="BodyTextIndent"/>
        <w:tabs>
          <w:tab w:val="left" w:pos="0"/>
          <w:tab w:val="left" w:pos="720"/>
        </w:tabs>
        <w:suppressAutoHyphens w:val="0"/>
        <w:spacing w:after="0"/>
        <w:ind w:left="0" w:right="-29"/>
        <w:jc w:val="both"/>
      </w:pPr>
      <w:r w:rsidRPr="00F03FC8">
        <w:tab/>
        <w:t>Prin Hotărârea Consiliului Local al Municipiului Timişoara nr.131/25.03.2014, modificată de Hotărârea Consilului Local al Municipiului Timişoara nr.</w:t>
      </w:r>
      <w:r w:rsidR="00AF0C75" w:rsidRPr="00F03FC8">
        <w:t xml:space="preserve"> </w:t>
      </w:r>
      <w:r w:rsidRPr="00F03FC8">
        <w:t>230/20.05.2014 şi de Hotărârea Consilului Local al Municipiului Timişoara nr.145/20.03.2015, a fost</w:t>
      </w:r>
      <w:r w:rsidR="00AF0C75" w:rsidRPr="00F03FC8">
        <w:t xml:space="preserve"> aprobată schema de </w:t>
      </w:r>
      <w:r w:rsidRPr="00F03FC8">
        <w:t>ajutor de minimis privind dezvolta</w:t>
      </w:r>
      <w:r w:rsidR="00AF0C75" w:rsidRPr="00F03FC8">
        <w:t>rea regională „</w:t>
      </w:r>
      <w:r w:rsidRPr="00F03FC8">
        <w:t>CLĂDIREA</w:t>
      </w:r>
      <w:r w:rsidR="00AF0C75" w:rsidRPr="00F03FC8">
        <w:t xml:space="preserve"> VERDE”.</w:t>
      </w:r>
      <w:r w:rsidR="00464664" w:rsidRPr="00F03FC8">
        <w:t xml:space="preserve"> Aceasta prevede reducerea impozitului pe clădiri, în funcție de nivelul de sustenabilitate al clădirii, cu 50%, 35% sau cu 20%, în cazul în care clădirea deține un certificat de performanță energetică clasa A; precum și un certificat de sustenabilitate atestând nivele tehnice de perfomanță</w:t>
      </w:r>
      <w:r w:rsidR="00BE7694" w:rsidRPr="00F03FC8">
        <w:t>, ierarhizate,</w:t>
      </w:r>
      <w:r w:rsidR="00464664" w:rsidRPr="00F03FC8">
        <w:t xml:space="preserve"> stabilite în sisteme recuonscute internațional (BREEM, </w:t>
      </w:r>
      <w:r w:rsidR="00BE7694" w:rsidRPr="00F03FC8">
        <w:t>DGNB, LEED etc.). Este o măsură a administrației locale, prin care se urmărește stimularea preocupării cetățenilor pentru creșterea eficienței energetice a clădirilor, prioritate a Strategiei Europa 2020, cu scopul creșterii nivelului de trai al populației.</w:t>
      </w:r>
    </w:p>
    <w:p w:rsidR="00827ED0" w:rsidRPr="00F03FC8" w:rsidRDefault="00827ED0" w:rsidP="00A853F5">
      <w:pPr>
        <w:pStyle w:val="BodyTextIndent"/>
        <w:tabs>
          <w:tab w:val="left" w:pos="0"/>
          <w:tab w:val="left" w:pos="3960"/>
        </w:tabs>
        <w:suppressAutoHyphens w:val="0"/>
        <w:spacing w:after="0"/>
        <w:ind w:left="0" w:right="-29"/>
        <w:jc w:val="both"/>
      </w:pP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Necesitatea realizării unor servicii de interes local, precum şi necesitatea dezvoltării economice locale au condus autorităţile locale către o colaborare cu o serie de instituţii locale, regionale, naţionale. Astfel, sub controlul autorităţilor locale, anumite servicii, prin crearea cadrului legislativ necesar, sunt  prestate de către regii autonome sau societăţi comerciale.</w:t>
      </w:r>
    </w:p>
    <w:p w:rsidR="007B7645" w:rsidRPr="007B7645" w:rsidRDefault="00A853F5" w:rsidP="007B7645">
      <w:pPr>
        <w:spacing w:after="0" w:line="240" w:lineRule="auto"/>
        <w:ind w:firstLine="720"/>
        <w:jc w:val="both"/>
        <w:rPr>
          <w:lang w:val="fr-FR"/>
        </w:rPr>
      </w:pPr>
      <w:r w:rsidRPr="00F03FC8">
        <w:rPr>
          <w:rFonts w:ascii="Times New Roman" w:hAnsi="Times New Roman" w:cs="Times New Roman"/>
          <w:sz w:val="24"/>
          <w:szCs w:val="24"/>
          <w:lang w:val="fr-FR"/>
        </w:rPr>
        <w:t xml:space="preserve">De exemplu, începând cu anul 2004, serviciile de producere şi distribuţie a energiei termice şi a apei calde menajere în sistem centralizat sunt asigurate, pentru municipiul Timişoara, de către S.C. Colterm S.A., companie locală de termoficare, care a luat naştere din fuziunea producătorului de energie termică S.C. Termocet 2002 S.A. şi distribuitorul de energie termică R.A. Termoficare Calor. </w:t>
      </w:r>
      <w:r w:rsidR="007B7645" w:rsidRPr="007B7645">
        <w:rPr>
          <w:rFonts w:ascii="Times New Roman" w:hAnsi="Times New Roman" w:cs="Times New Roman"/>
          <w:sz w:val="24"/>
          <w:szCs w:val="24"/>
          <w:lang w:val="fr-FR"/>
        </w:rPr>
        <w:t xml:space="preserve">Alimentarea cu energie termică a municipiului Timişoara se realizează în cea mai mare prin intermediul a 3 centrale termice (CET Centru, CET Sud, CET Freidorf) şi 18 centrale termice de cartier, care alimentează 114 puncte termice urbane. Prin acest sistem sunt alimentate un număr de aproximativ 72.000 de apartamente din care peste 5700 prin centrala de cogenerare Freidorf. </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În luna septembrie 2005, serviciul de iluminat public a fost de asemenea concesionat pe o durată de 10 ani. În conformitate cu contractele de concesiune aflate în derulare, serviciile de întreţinere, modernizare şi extindere iluminat public în municipiul Timişoara sunt prestate de compania Luxten - la sud de Canalul Bega şi de compania ELBA la nord de canalul Bega.</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De asemenea, serviciile de transport public urban în Timişoara sunt asigurate de Regia Autonomă de Transport Timişoara.</w:t>
      </w:r>
    </w:p>
    <w:p w:rsidR="00A853F5" w:rsidRPr="00F03FC8" w:rsidRDefault="00A853F5" w:rsidP="00A853F5">
      <w:pPr>
        <w:autoSpaceDE w:val="0"/>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Serviciile de alimentare cu apă şi de canalizare necesare Polului de creştere Timişoara sunt asigurate de S.C. Aquatim S.A. Societatea Aquatim asigură alimentarea cu apă a peste 23.000 de clienţi, acoperind în prezent atât necesarul debitelor cât şi al presiunilor la utilizator pentru majoritatea consumatorilor, fiind posibilă livrarea suplimentară de apă potabilă din reţeaua municipiului Timişoara şi către localităţile periurbane. În prezent, S.C. Aquatim S.A. este operator regional pentru servicii de apă şi canalizare, acoperind o mare parte a judeţului Timiş.</w:t>
      </w:r>
    </w:p>
    <w:p w:rsidR="00A853F5" w:rsidRPr="007B7645"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S.C. E.ON Gaz România S.A. este o societate comercială cu capital majoritar privat, rezultată prin privatizarea fostei societăţi S.C. DISTRIGAZ NORD S.A., care asigură serviciile de distribuţie a gazelor naturale. Centrul Operaţional Timişoara are reprezentanţi permanenţi care asigură intervenţiile de urgenţă şi alte activităţi specifice distribuţiei gazelor naturale. Alimentarea cu gaze naturale a municipiului Timişoara se face printr-o reţea de repartiţie de medie presiune, conectată la trei staţii de reglare-măsurare-predare, amplasate pe Calea Moşniţei, pe Calea Lipovei şi în zona fostei Fabrici de Zahăr. De la reţeaua de repartiţie de medie presiune </w:t>
      </w:r>
      <w:r w:rsidRPr="00F03FC8">
        <w:rPr>
          <w:rFonts w:ascii="Times New Roman" w:hAnsi="Times New Roman" w:cs="Times New Roman"/>
          <w:sz w:val="24"/>
          <w:szCs w:val="24"/>
          <w:lang w:val="fr-FR"/>
        </w:rPr>
        <w:lastRenderedPageBreak/>
        <w:t>sunt alimentate staţiile de reglare-măsurare ale marilor consumatori şi staţiile de reglare-măsurare de sector</w:t>
      </w:r>
      <w:r w:rsidRPr="007B7645">
        <w:rPr>
          <w:rFonts w:ascii="Times New Roman" w:hAnsi="Times New Roman" w:cs="Times New Roman"/>
          <w:sz w:val="24"/>
          <w:szCs w:val="24"/>
          <w:lang w:val="fr-FR"/>
        </w:rPr>
        <w:t xml:space="preserve">. </w:t>
      </w:r>
      <w:r w:rsidR="007B7645" w:rsidRPr="007B7645">
        <w:rPr>
          <w:rFonts w:ascii="Times New Roman" w:hAnsi="Times New Roman" w:cs="Times New Roman"/>
          <w:sz w:val="24"/>
          <w:szCs w:val="24"/>
          <w:lang w:val="fr-FR"/>
        </w:rPr>
        <w:t>În prezent, în municipiul Timişoara funcţionează 28 staţii de reglare măsurare (industriale şi de sector).</w:t>
      </w:r>
      <w:r w:rsidRPr="007B7645">
        <w:rPr>
          <w:rFonts w:ascii="Times New Roman" w:hAnsi="Times New Roman" w:cs="Times New Roman"/>
          <w:sz w:val="24"/>
          <w:szCs w:val="24"/>
          <w:lang w:val="fr-FR"/>
        </w:rPr>
        <w:t xml:space="preserve"> </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Administraţia publică locală oferă infrastructura care sprijină eforturile comunităţii şi cetăţenilor în domeniul economic, politic, social şi cultural.</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Rolul administraţiei publice locale se schimbă şi va continua să se schimbe pe măsura ce problemele economice şi sociale pe care le întâmpină continuă să crească.</w:t>
      </w:r>
    </w:p>
    <w:p w:rsidR="0072394C" w:rsidRDefault="0072394C" w:rsidP="00A853F5">
      <w:pPr>
        <w:spacing w:after="0" w:line="240" w:lineRule="auto"/>
        <w:jc w:val="both"/>
        <w:rPr>
          <w:rFonts w:ascii="Times New Roman" w:hAnsi="Times New Roman" w:cs="Times New Roman"/>
          <w:sz w:val="24"/>
          <w:szCs w:val="24"/>
          <w:lang w:val="fr-FR"/>
        </w:rPr>
      </w:pPr>
    </w:p>
    <w:p w:rsidR="00A853F5" w:rsidRPr="00F03FC8" w:rsidRDefault="00A853F5" w:rsidP="00A853F5">
      <w:pPr>
        <w:spacing w:after="0" w:line="240" w:lineRule="auto"/>
        <w:ind w:firstLine="720"/>
        <w:jc w:val="both"/>
        <w:rPr>
          <w:rFonts w:ascii="Times New Roman" w:hAnsi="Times New Roman" w:cs="Times New Roman"/>
          <w:b/>
          <w:sz w:val="24"/>
          <w:szCs w:val="24"/>
        </w:rPr>
      </w:pPr>
      <w:r w:rsidRPr="00F03FC8">
        <w:rPr>
          <w:rFonts w:ascii="Times New Roman" w:hAnsi="Times New Roman" w:cs="Times New Roman"/>
          <w:b/>
          <w:sz w:val="24"/>
          <w:szCs w:val="24"/>
        </w:rPr>
        <w:t>Bugetele UAT-urilor din arealul Polului de creștere Timișoara</w:t>
      </w: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Forţa economică a unui centru urban și a ariei sale de coordonare, în cazul nostru Polul de creștere Timișoara, este ilustrată și de bugetele administrate de unităţile administrativ-teritoriale componente. Acestea sunt alimentate din taxele și impozitele locale, care constituie partea cea mai însemnată a </w:t>
      </w:r>
      <w:r w:rsidRPr="00F03FC8">
        <w:rPr>
          <w:rFonts w:ascii="Times New Roman" w:hAnsi="Times New Roman" w:cs="Times New Roman"/>
          <w:i/>
          <w:sz w:val="24"/>
          <w:szCs w:val="24"/>
          <w:lang w:val="fr-FR"/>
        </w:rPr>
        <w:t>bugetului local</w:t>
      </w:r>
      <w:r w:rsidRPr="00F03FC8">
        <w:rPr>
          <w:rFonts w:ascii="Times New Roman" w:hAnsi="Times New Roman" w:cs="Times New Roman"/>
          <w:sz w:val="24"/>
          <w:szCs w:val="24"/>
          <w:lang w:val="fr-FR"/>
        </w:rPr>
        <w:t xml:space="preserve">, reflectând forţa agenţilor economici implantaţi în fiecare localitate, la care se adaugă prelevările de la bugetul de stat și fondurile europene atrase. Bugetul local este completat de </w:t>
      </w:r>
      <w:r w:rsidRPr="00F03FC8">
        <w:rPr>
          <w:rFonts w:ascii="Times New Roman" w:hAnsi="Times New Roman" w:cs="Times New Roman"/>
          <w:i/>
          <w:sz w:val="24"/>
          <w:szCs w:val="24"/>
          <w:lang w:val="fr-FR"/>
        </w:rPr>
        <w:t>bugetul împrumuturilor interne și externe</w:t>
      </w:r>
      <w:r w:rsidRPr="00F03FC8">
        <w:rPr>
          <w:rFonts w:ascii="Times New Roman" w:hAnsi="Times New Roman" w:cs="Times New Roman"/>
          <w:sz w:val="24"/>
          <w:szCs w:val="24"/>
          <w:lang w:val="fr-FR"/>
        </w:rPr>
        <w:t xml:space="preserve">, precum și de </w:t>
      </w:r>
      <w:r w:rsidRPr="00F03FC8">
        <w:rPr>
          <w:rFonts w:ascii="Times New Roman" w:hAnsi="Times New Roman" w:cs="Times New Roman"/>
          <w:i/>
          <w:sz w:val="24"/>
          <w:szCs w:val="24"/>
          <w:lang w:val="fr-FR"/>
        </w:rPr>
        <w:t>bugetul instituţiilor publice finanţate din venituri proprii</w:t>
      </w:r>
      <w:r w:rsidRPr="00F03FC8">
        <w:rPr>
          <w:rFonts w:ascii="Times New Roman" w:hAnsi="Times New Roman" w:cs="Times New Roman"/>
          <w:sz w:val="24"/>
          <w:szCs w:val="24"/>
          <w:lang w:val="fr-FR"/>
        </w:rPr>
        <w:t xml:space="preserve"> (fără subvenţii din bugetul local), împreună alcătuind </w:t>
      </w:r>
      <w:r w:rsidRPr="00F03FC8">
        <w:rPr>
          <w:rFonts w:ascii="Times New Roman" w:hAnsi="Times New Roman" w:cs="Times New Roman"/>
          <w:b/>
          <w:i/>
          <w:sz w:val="24"/>
          <w:szCs w:val="24"/>
          <w:lang w:val="fr-FR"/>
        </w:rPr>
        <w:t>bugetul consolidat</w:t>
      </w:r>
      <w:r w:rsidRPr="00F03FC8">
        <w:rPr>
          <w:rFonts w:ascii="Times New Roman" w:hAnsi="Times New Roman" w:cs="Times New Roman"/>
          <w:sz w:val="24"/>
          <w:szCs w:val="24"/>
          <w:lang w:val="fr-FR"/>
        </w:rPr>
        <w:t xml:space="preserve"> al unităţii administrativ-teritoriale.</w:t>
      </w:r>
    </w:p>
    <w:p w:rsidR="00A853F5" w:rsidRPr="0072394C" w:rsidRDefault="00A853F5" w:rsidP="00A853F5">
      <w:pPr>
        <w:spacing w:after="0" w:line="240" w:lineRule="auto"/>
        <w:ind w:firstLine="720"/>
        <w:jc w:val="both"/>
        <w:rPr>
          <w:rFonts w:ascii="Times New Roman" w:hAnsi="Times New Roman" w:cs="Times New Roman"/>
          <w:color w:val="000000" w:themeColor="text1"/>
          <w:sz w:val="24"/>
          <w:szCs w:val="24"/>
          <w:lang w:val="fr-FR"/>
        </w:rPr>
      </w:pPr>
      <w:r w:rsidRPr="00F03FC8">
        <w:rPr>
          <w:rFonts w:ascii="Times New Roman" w:hAnsi="Times New Roman" w:cs="Times New Roman"/>
          <w:sz w:val="24"/>
          <w:szCs w:val="24"/>
          <w:lang w:val="fr-FR"/>
        </w:rPr>
        <w:t xml:space="preserve">Dacă, în mod normal, bugetul local cunoaște oscilaţii mai reduse de la un an la altul (cu excepţia situaţiilor în care se angajează fonduri europene mari pentru realizarea unor obiective de anvergură), bugetul consolidat poate varia în limite mai largi de la un an la altul, îndeosebi ca urmare a oscilaţiei împrumuturilor externe și interne. Accentuarea în etape a descentralizării a făcut ca atribuţiile autorităţilor locale să crească, fapt reflectat și de creșterea în timp a volumului bugetelor consolidate pe care acestea le administrează. Este ceea ce se poate vedea și prin compararea bugetelor celor mai importante orașe ale României, unele din ele aflate în competiţie cu municipiul Timișoara </w:t>
      </w:r>
      <w:r w:rsidR="006E791C" w:rsidRPr="0072394C">
        <w:rPr>
          <w:rFonts w:ascii="Times New Roman" w:hAnsi="Times New Roman" w:cs="Times New Roman"/>
          <w:color w:val="000000" w:themeColor="text1"/>
          <w:sz w:val="24"/>
          <w:szCs w:val="24"/>
          <w:lang w:val="fr-FR"/>
        </w:rPr>
        <w:t>(</w:t>
      </w:r>
      <w:r w:rsidR="006E791C" w:rsidRPr="0080457A">
        <w:rPr>
          <w:rFonts w:ascii="Times New Roman" w:hAnsi="Times New Roman" w:cs="Times New Roman"/>
          <w:color w:val="000000" w:themeColor="text1"/>
          <w:sz w:val="24"/>
          <w:szCs w:val="24"/>
          <w:lang w:val="fr-FR"/>
        </w:rPr>
        <w:t xml:space="preserve">tabelul </w:t>
      </w:r>
      <w:r w:rsidR="0072394C" w:rsidRPr="0080457A">
        <w:rPr>
          <w:rFonts w:ascii="Times New Roman" w:hAnsi="Times New Roman" w:cs="Times New Roman"/>
          <w:color w:val="000000" w:themeColor="text1"/>
          <w:sz w:val="24"/>
          <w:szCs w:val="24"/>
          <w:lang w:val="fr-FR"/>
        </w:rPr>
        <w:t>2</w:t>
      </w:r>
      <w:r w:rsidRPr="0080457A">
        <w:rPr>
          <w:rFonts w:ascii="Times New Roman" w:hAnsi="Times New Roman" w:cs="Times New Roman"/>
          <w:color w:val="000000" w:themeColor="text1"/>
          <w:sz w:val="24"/>
          <w:szCs w:val="24"/>
          <w:lang w:val="fr-FR"/>
        </w:rPr>
        <w:t>).</w:t>
      </w:r>
      <w:r w:rsidRPr="0072394C">
        <w:rPr>
          <w:rFonts w:ascii="Times New Roman" w:hAnsi="Times New Roman" w:cs="Times New Roman"/>
          <w:color w:val="000000" w:themeColor="text1"/>
          <w:sz w:val="24"/>
          <w:szCs w:val="24"/>
          <w:lang w:val="fr-FR"/>
        </w:rPr>
        <w:t xml:space="preserve"> </w:t>
      </w:r>
    </w:p>
    <w:p w:rsidR="006E791C" w:rsidRDefault="006E791C" w:rsidP="00A853F5">
      <w:pPr>
        <w:spacing w:after="0" w:line="240" w:lineRule="auto"/>
        <w:ind w:firstLine="720"/>
        <w:jc w:val="both"/>
        <w:rPr>
          <w:rFonts w:ascii="Times New Roman" w:hAnsi="Times New Roman" w:cs="Times New Roman"/>
          <w:lang w:val="fr-FR"/>
        </w:rPr>
      </w:pPr>
    </w:p>
    <w:p w:rsidR="006E791C" w:rsidRPr="002D3114" w:rsidRDefault="002D3114" w:rsidP="002D3114">
      <w:pPr>
        <w:spacing w:after="0" w:line="240" w:lineRule="auto"/>
        <w:jc w:val="center"/>
        <w:rPr>
          <w:rFonts w:ascii="Times New Roman" w:hAnsi="Times New Roman" w:cs="Times New Roman"/>
          <w:b/>
          <w:sz w:val="20"/>
          <w:szCs w:val="20"/>
          <w:lang w:val="fr-FR"/>
        </w:rPr>
      </w:pPr>
      <w:r w:rsidRPr="002D3114">
        <w:rPr>
          <w:rFonts w:ascii="Times New Roman" w:hAnsi="Times New Roman" w:cs="Times New Roman"/>
          <w:b/>
          <w:sz w:val="20"/>
          <w:szCs w:val="20"/>
          <w:lang w:val="fr-FR"/>
        </w:rPr>
        <w:t xml:space="preserve">Tabelul </w:t>
      </w:r>
      <w:r w:rsidR="0072394C">
        <w:rPr>
          <w:rFonts w:ascii="Times New Roman" w:hAnsi="Times New Roman" w:cs="Times New Roman"/>
          <w:b/>
          <w:sz w:val="20"/>
          <w:szCs w:val="20"/>
          <w:lang w:val="fr-FR"/>
        </w:rPr>
        <w:t>2</w:t>
      </w:r>
      <w:r>
        <w:rPr>
          <w:rFonts w:ascii="Times New Roman" w:hAnsi="Times New Roman" w:cs="Times New Roman"/>
          <w:b/>
          <w:sz w:val="20"/>
          <w:szCs w:val="20"/>
          <w:lang w:val="fr-FR"/>
        </w:rPr>
        <w:t xml:space="preserve">. </w:t>
      </w:r>
      <w:r w:rsidR="006E791C" w:rsidRPr="002D3114">
        <w:rPr>
          <w:rFonts w:ascii="Times New Roman" w:hAnsi="Times New Roman" w:cs="Times New Roman"/>
          <w:b/>
          <w:sz w:val="20"/>
          <w:szCs w:val="20"/>
          <w:lang w:val="fr-FR"/>
        </w:rPr>
        <w:t>Evoluția bugetelor locale ale celor mai mari orașe ale României, în perioada 2011-2013</w:t>
      </w:r>
    </w:p>
    <w:tbl>
      <w:tblPr>
        <w:tblStyle w:val="TableGrid"/>
        <w:tblW w:w="0" w:type="auto"/>
        <w:tblLook w:val="04A0"/>
      </w:tblPr>
      <w:tblGrid>
        <w:gridCol w:w="1374"/>
        <w:gridCol w:w="1374"/>
        <w:gridCol w:w="1374"/>
        <w:gridCol w:w="1375"/>
        <w:gridCol w:w="1375"/>
        <w:gridCol w:w="1375"/>
        <w:gridCol w:w="1375"/>
      </w:tblGrid>
      <w:tr w:rsidR="00CE557B" w:rsidTr="00017170">
        <w:tc>
          <w:tcPr>
            <w:tcW w:w="9622" w:type="dxa"/>
            <w:gridSpan w:val="7"/>
            <w:tcBorders>
              <w:top w:val="nil"/>
              <w:left w:val="nil"/>
              <w:bottom w:val="single" w:sz="4" w:space="0" w:color="auto"/>
              <w:right w:val="nil"/>
            </w:tcBorders>
            <w:vAlign w:val="center"/>
          </w:tcPr>
          <w:p w:rsidR="00CE557B" w:rsidRPr="00CE557B" w:rsidRDefault="00CE557B" w:rsidP="00CE557B">
            <w:pPr>
              <w:widowControl w:val="0"/>
              <w:autoSpaceDE w:val="0"/>
              <w:jc w:val="right"/>
              <w:rPr>
                <w:rFonts w:ascii="Times New Roman" w:hAnsi="Times New Roman" w:cs="Times New Roman"/>
                <w:i/>
                <w:sz w:val="20"/>
                <w:szCs w:val="20"/>
              </w:rPr>
            </w:pPr>
            <w:r w:rsidRPr="00CE557B">
              <w:rPr>
                <w:rFonts w:ascii="Times New Roman" w:hAnsi="Times New Roman" w:cs="Times New Roman"/>
                <w:i/>
                <w:sz w:val="20"/>
                <w:szCs w:val="20"/>
              </w:rPr>
              <w:t>(Mii lei, prețuri curente)</w:t>
            </w:r>
          </w:p>
        </w:tc>
      </w:tr>
      <w:tr w:rsidR="006E791C" w:rsidTr="00CE557B">
        <w:tc>
          <w:tcPr>
            <w:tcW w:w="1374" w:type="dxa"/>
            <w:vMerge w:val="restart"/>
            <w:tcBorders>
              <w:top w:val="single" w:sz="4" w:space="0" w:color="auto"/>
              <w:left w:val="single" w:sz="4" w:space="0" w:color="auto"/>
              <w:bottom w:val="single" w:sz="4" w:space="0" w:color="auto"/>
              <w:right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Orașul</w:t>
            </w:r>
          </w:p>
        </w:tc>
        <w:tc>
          <w:tcPr>
            <w:tcW w:w="2748" w:type="dxa"/>
            <w:gridSpan w:val="2"/>
            <w:tcBorders>
              <w:top w:val="single" w:sz="4" w:space="0" w:color="auto"/>
              <w:left w:val="single" w:sz="4" w:space="0" w:color="auto"/>
              <w:bottom w:val="single" w:sz="4" w:space="0" w:color="auto"/>
              <w:right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2011</w:t>
            </w: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2012</w:t>
            </w: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2013</w:t>
            </w:r>
          </w:p>
        </w:tc>
      </w:tr>
      <w:tr w:rsidR="006E791C" w:rsidTr="00CE557B">
        <w:tc>
          <w:tcPr>
            <w:tcW w:w="1374" w:type="dxa"/>
            <w:vMerge/>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p>
        </w:tc>
        <w:tc>
          <w:tcPr>
            <w:tcW w:w="1374" w:type="dxa"/>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Venituri</w:t>
            </w:r>
          </w:p>
        </w:tc>
        <w:tc>
          <w:tcPr>
            <w:tcW w:w="1374" w:type="dxa"/>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Cheltuieli</w:t>
            </w:r>
          </w:p>
        </w:tc>
        <w:tc>
          <w:tcPr>
            <w:tcW w:w="1375" w:type="dxa"/>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Venituri</w:t>
            </w:r>
          </w:p>
        </w:tc>
        <w:tc>
          <w:tcPr>
            <w:tcW w:w="1375" w:type="dxa"/>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Cheltuieli</w:t>
            </w:r>
          </w:p>
        </w:tc>
        <w:tc>
          <w:tcPr>
            <w:tcW w:w="1375" w:type="dxa"/>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Venituri</w:t>
            </w:r>
          </w:p>
        </w:tc>
        <w:tc>
          <w:tcPr>
            <w:tcW w:w="1375" w:type="dxa"/>
            <w:tcBorders>
              <w:top w:val="single" w:sz="4" w:space="0" w:color="auto"/>
            </w:tcBorders>
            <w:vAlign w:val="center"/>
          </w:tcPr>
          <w:p w:rsidR="006E791C" w:rsidRPr="00A853F5" w:rsidRDefault="006E791C" w:rsidP="006E791C">
            <w:pPr>
              <w:widowControl w:val="0"/>
              <w:autoSpaceDE w:val="0"/>
              <w:jc w:val="center"/>
              <w:rPr>
                <w:rFonts w:ascii="Times New Roman" w:hAnsi="Times New Roman" w:cs="Times New Roman"/>
                <w:sz w:val="20"/>
                <w:szCs w:val="20"/>
              </w:rPr>
            </w:pPr>
            <w:r w:rsidRPr="00A853F5">
              <w:rPr>
                <w:rFonts w:ascii="Times New Roman" w:hAnsi="Times New Roman" w:cs="Times New Roman"/>
                <w:sz w:val="20"/>
                <w:szCs w:val="20"/>
              </w:rPr>
              <w:t>Cheltuieli</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Timișoara</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676.057,99</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680.770,86</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900.331,73</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929.971,24</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 xml:space="preserve">1.036.655,79 </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1.038.603,04</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Iași</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706.465,40</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746.698,87</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727.723,69</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769.410,34</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957.984,26</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983.404,93</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Cluj-Nap.</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642.736,006</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604.286,968</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647.195,786</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638.213,753</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772.919,000</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826.869,000</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Constanţa</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482.947</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571.038</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452.628</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504.781</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569.299</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618.750</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Craiova</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494.261</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495.831</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620.078,10</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633.579,10</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591.247</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591.701</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Brașov</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456.426</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482.961</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537.784</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587.627</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583.109</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597.051</w:t>
            </w:r>
          </w:p>
        </w:tc>
      </w:tr>
      <w:tr w:rsidR="006E791C" w:rsidTr="006E791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București</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4.282.027</w:t>
            </w:r>
          </w:p>
        </w:tc>
        <w:tc>
          <w:tcPr>
            <w:tcW w:w="1374"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4.766.099</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4.648.336</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4.916.489</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4.577835</w:t>
            </w:r>
          </w:p>
        </w:tc>
        <w:tc>
          <w:tcPr>
            <w:tcW w:w="1375" w:type="dxa"/>
          </w:tcPr>
          <w:p w:rsidR="006E791C" w:rsidRPr="00A853F5" w:rsidRDefault="006E791C" w:rsidP="006E791C">
            <w:pPr>
              <w:widowControl w:val="0"/>
              <w:autoSpaceDE w:val="0"/>
              <w:jc w:val="both"/>
              <w:rPr>
                <w:rFonts w:ascii="Times New Roman" w:hAnsi="Times New Roman" w:cs="Times New Roman"/>
                <w:sz w:val="20"/>
                <w:szCs w:val="20"/>
              </w:rPr>
            </w:pPr>
            <w:r w:rsidRPr="00A853F5">
              <w:rPr>
                <w:rFonts w:ascii="Times New Roman" w:hAnsi="Times New Roman" w:cs="Times New Roman"/>
                <w:sz w:val="20"/>
                <w:szCs w:val="20"/>
              </w:rPr>
              <w:t>4.607224</w:t>
            </w:r>
          </w:p>
        </w:tc>
      </w:tr>
    </w:tbl>
    <w:p w:rsidR="006E791C" w:rsidRDefault="00E6777E" w:rsidP="00E6777E">
      <w:pPr>
        <w:spacing w:after="0" w:line="240" w:lineRule="auto"/>
        <w:jc w:val="center"/>
        <w:rPr>
          <w:rFonts w:ascii="Times New Roman" w:hAnsi="Times New Roman" w:cs="Times New Roman"/>
          <w:i/>
          <w:sz w:val="18"/>
          <w:szCs w:val="18"/>
          <w:lang w:val="fr-FR"/>
        </w:rPr>
      </w:pPr>
      <w:r w:rsidRPr="00E6777E">
        <w:rPr>
          <w:rFonts w:ascii="Times New Roman" w:hAnsi="Times New Roman" w:cs="Times New Roman"/>
          <w:i/>
          <w:sz w:val="18"/>
          <w:szCs w:val="18"/>
          <w:lang w:val="fr-FR"/>
        </w:rPr>
        <w:t>(</w:t>
      </w:r>
      <w:r w:rsidR="006E791C" w:rsidRPr="00E6777E">
        <w:rPr>
          <w:rFonts w:ascii="Times New Roman" w:hAnsi="Times New Roman" w:cs="Times New Roman"/>
          <w:i/>
          <w:sz w:val="18"/>
          <w:szCs w:val="18"/>
          <w:lang w:val="fr-FR"/>
        </w:rPr>
        <w:t>Sursa : Date publicate pe site-urile</w:t>
      </w:r>
      <w:r w:rsidRPr="00E6777E">
        <w:rPr>
          <w:rFonts w:ascii="Times New Roman" w:hAnsi="Times New Roman" w:cs="Times New Roman"/>
          <w:i/>
          <w:sz w:val="18"/>
          <w:szCs w:val="18"/>
          <w:lang w:val="fr-FR"/>
        </w:rPr>
        <w:t xml:space="preserve"> oficiale ale</w:t>
      </w:r>
      <w:r w:rsidR="006E791C" w:rsidRPr="00E6777E">
        <w:rPr>
          <w:rFonts w:ascii="Times New Roman" w:hAnsi="Times New Roman" w:cs="Times New Roman"/>
          <w:i/>
          <w:sz w:val="18"/>
          <w:szCs w:val="18"/>
          <w:lang w:val="fr-FR"/>
        </w:rPr>
        <w:t xml:space="preserve"> primări</w:t>
      </w:r>
      <w:r w:rsidRPr="00E6777E">
        <w:rPr>
          <w:rFonts w:ascii="Times New Roman" w:hAnsi="Times New Roman" w:cs="Times New Roman"/>
          <w:i/>
          <w:sz w:val="18"/>
          <w:szCs w:val="18"/>
          <w:lang w:val="fr-FR"/>
        </w:rPr>
        <w:t>ilor</w:t>
      </w:r>
      <w:r>
        <w:rPr>
          <w:rFonts w:ascii="Times New Roman" w:hAnsi="Times New Roman" w:cs="Times New Roman"/>
          <w:i/>
          <w:sz w:val="18"/>
          <w:szCs w:val="18"/>
          <w:lang w:val="fr-FR"/>
        </w:rPr>
        <w:t xml:space="preserve"> analizate, accesate în ianuarie 2015</w:t>
      </w:r>
      <w:r w:rsidRPr="00E6777E">
        <w:rPr>
          <w:rFonts w:ascii="Times New Roman" w:hAnsi="Times New Roman" w:cs="Times New Roman"/>
          <w:i/>
          <w:sz w:val="18"/>
          <w:szCs w:val="18"/>
          <w:lang w:val="fr-FR"/>
        </w:rPr>
        <w:t>)</w:t>
      </w:r>
    </w:p>
    <w:p w:rsidR="00E6777E" w:rsidRPr="00E6777E" w:rsidRDefault="00E6777E" w:rsidP="00E6777E">
      <w:pPr>
        <w:spacing w:after="0" w:line="240" w:lineRule="auto"/>
        <w:jc w:val="center"/>
        <w:rPr>
          <w:rFonts w:ascii="Times New Roman" w:hAnsi="Times New Roman" w:cs="Times New Roman"/>
          <w:i/>
          <w:sz w:val="18"/>
          <w:szCs w:val="18"/>
          <w:lang w:val="fr-FR"/>
        </w:rPr>
      </w:pPr>
    </w:p>
    <w:p w:rsidR="00A853F5" w:rsidRPr="00F03FC8" w:rsidRDefault="00A853F5" w:rsidP="00A853F5">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Se remarcă astfel că, în intervalul 2011-2013, bugetul Timișoarei a înregistrat creșteri de la un an la altul, ajungând la peste un miliarde de lei în 2013, fapt care plasează orașul de pe Bega pe locul al doilea în ţară, după București. Conform datelor disponibile pe site-urile oficiale ale primăriilor orașelor comparate, doar municipiile Iași și Cluj-Napoca au bugete apropiate de cel al Timișoarei, în timp ce în cazul municipiilor Constanţa, Brașov sau Craiova valorile sunt semnificativ mai modeste și înregistrează oscilaţii de la un an la altul. În acest context, evoluţia bugetului consolidat al municipiului Timișoara reflectă o bună capacitate de a face faţă crizei </w:t>
      </w:r>
      <w:r w:rsidRPr="00F03FC8">
        <w:rPr>
          <w:rFonts w:ascii="Times New Roman" w:hAnsi="Times New Roman" w:cs="Times New Roman"/>
          <w:sz w:val="24"/>
          <w:szCs w:val="24"/>
          <w:lang w:val="fr-FR"/>
        </w:rPr>
        <w:lastRenderedPageBreak/>
        <w:t>economico-financiare și de a fixa resurse de dezvoltare în plan local. În structura bugetului, un rol important revine sumelor consacrate dezvoltării.</w:t>
      </w:r>
    </w:p>
    <w:p w:rsidR="00A853F5" w:rsidRPr="0072394C" w:rsidRDefault="00A853F5" w:rsidP="00A853F5">
      <w:pPr>
        <w:spacing w:after="0" w:line="240" w:lineRule="auto"/>
        <w:ind w:firstLine="720"/>
        <w:jc w:val="both"/>
        <w:rPr>
          <w:rFonts w:ascii="Times New Roman" w:hAnsi="Times New Roman" w:cs="Times New Roman"/>
          <w:color w:val="000000" w:themeColor="text1"/>
          <w:sz w:val="24"/>
          <w:szCs w:val="24"/>
          <w:lang w:val="fr-FR"/>
        </w:rPr>
      </w:pPr>
      <w:r w:rsidRPr="00F03FC8">
        <w:rPr>
          <w:rFonts w:ascii="Times New Roman" w:hAnsi="Times New Roman" w:cs="Times New Roman"/>
          <w:sz w:val="24"/>
          <w:szCs w:val="24"/>
          <w:lang w:val="fr-FR"/>
        </w:rPr>
        <w:t xml:space="preserve">Această caracteristică este specifică și majorităţii comunelor din componenţa Polului de creștere Timișoara. Pe ansamblu, spaţiul rural aflat sub influenţa directă a municipiului adaugă </w:t>
      </w:r>
      <w:r w:rsidRPr="0080457A">
        <w:rPr>
          <w:rFonts w:ascii="Times New Roman" w:hAnsi="Times New Roman" w:cs="Times New Roman"/>
          <w:sz w:val="24"/>
          <w:szCs w:val="24"/>
          <w:lang w:val="fr-FR"/>
        </w:rPr>
        <w:t>venituri bugetare de cca 150 mil. lei, cotribuind astfel la formarea unui pol economic de remarcabilă forţă în vestul României, care gestionează bugete de peste 1,2 miliarde de lei anual</w:t>
      </w:r>
      <w:r w:rsidR="002D3114" w:rsidRPr="0080457A">
        <w:rPr>
          <w:rFonts w:ascii="Times New Roman" w:hAnsi="Times New Roman" w:cs="Times New Roman"/>
          <w:sz w:val="24"/>
          <w:szCs w:val="24"/>
          <w:lang w:val="fr-FR"/>
        </w:rPr>
        <w:t xml:space="preserve"> </w:t>
      </w:r>
      <w:r w:rsidR="002D3114" w:rsidRPr="0080457A">
        <w:rPr>
          <w:rFonts w:ascii="Times New Roman" w:hAnsi="Times New Roman" w:cs="Times New Roman"/>
          <w:color w:val="000000" w:themeColor="text1"/>
          <w:sz w:val="24"/>
          <w:szCs w:val="24"/>
          <w:lang w:val="fr-FR"/>
        </w:rPr>
        <w:t xml:space="preserve">(tabelul </w:t>
      </w:r>
      <w:r w:rsidR="0072394C" w:rsidRPr="0080457A">
        <w:rPr>
          <w:rFonts w:ascii="Times New Roman" w:hAnsi="Times New Roman" w:cs="Times New Roman"/>
          <w:color w:val="000000" w:themeColor="text1"/>
          <w:sz w:val="24"/>
          <w:szCs w:val="24"/>
          <w:lang w:val="fr-FR"/>
        </w:rPr>
        <w:t>3</w:t>
      </w:r>
      <w:r w:rsidR="002D3114" w:rsidRPr="0080457A">
        <w:rPr>
          <w:rFonts w:ascii="Times New Roman" w:hAnsi="Times New Roman" w:cs="Times New Roman"/>
          <w:color w:val="000000" w:themeColor="text1"/>
          <w:sz w:val="24"/>
          <w:szCs w:val="24"/>
          <w:lang w:val="fr-FR"/>
        </w:rPr>
        <w:t>)</w:t>
      </w:r>
      <w:r w:rsidRPr="0080457A">
        <w:rPr>
          <w:rFonts w:ascii="Times New Roman" w:hAnsi="Times New Roman" w:cs="Times New Roman"/>
          <w:color w:val="000000" w:themeColor="text1"/>
          <w:sz w:val="24"/>
          <w:szCs w:val="24"/>
          <w:lang w:val="fr-FR"/>
        </w:rPr>
        <w:t>.</w:t>
      </w:r>
    </w:p>
    <w:p w:rsidR="0072394C" w:rsidRDefault="0072394C" w:rsidP="00A853F5">
      <w:pPr>
        <w:spacing w:after="0" w:line="240" w:lineRule="auto"/>
        <w:ind w:firstLine="720"/>
        <w:jc w:val="both"/>
        <w:rPr>
          <w:rFonts w:ascii="Times New Roman" w:hAnsi="Times New Roman" w:cs="Times New Roman"/>
          <w:sz w:val="24"/>
          <w:szCs w:val="24"/>
          <w:lang w:val="fr-FR"/>
        </w:rPr>
      </w:pPr>
    </w:p>
    <w:p w:rsidR="00A853F5" w:rsidRPr="003C205B" w:rsidRDefault="006E791C" w:rsidP="003C205B">
      <w:pPr>
        <w:spacing w:after="6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Tabelul </w:t>
      </w:r>
      <w:r w:rsidR="0072394C">
        <w:rPr>
          <w:rFonts w:ascii="Times New Roman" w:hAnsi="Times New Roman" w:cs="Times New Roman"/>
          <w:b/>
          <w:sz w:val="20"/>
          <w:szCs w:val="20"/>
        </w:rPr>
        <w:t>3</w:t>
      </w:r>
      <w:r w:rsidR="003C205B" w:rsidRPr="003C205B">
        <w:rPr>
          <w:rFonts w:ascii="Times New Roman" w:hAnsi="Times New Roman" w:cs="Times New Roman"/>
          <w:b/>
          <w:sz w:val="20"/>
          <w:szCs w:val="20"/>
        </w:rPr>
        <w:t xml:space="preserve">. </w:t>
      </w:r>
      <w:r w:rsidR="00A853F5" w:rsidRPr="003C205B">
        <w:rPr>
          <w:rFonts w:ascii="Times New Roman" w:hAnsi="Times New Roman" w:cs="Times New Roman"/>
          <w:b/>
          <w:sz w:val="20"/>
          <w:szCs w:val="20"/>
        </w:rPr>
        <w:t>Evoluţia bugetelor locale ale UAT din arealul Polului de creştere Timişoara (2011-2013)</w:t>
      </w: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116"/>
        <w:gridCol w:w="1134"/>
        <w:gridCol w:w="1266"/>
        <w:gridCol w:w="1266"/>
        <w:gridCol w:w="1266"/>
        <w:gridCol w:w="1332"/>
      </w:tblGrid>
      <w:tr w:rsidR="00A853F5" w:rsidRPr="00A853F5" w:rsidTr="00DC2675">
        <w:trPr>
          <w:jc w:val="center"/>
        </w:trPr>
        <w:tc>
          <w:tcPr>
            <w:tcW w:w="9198" w:type="dxa"/>
            <w:gridSpan w:val="7"/>
            <w:tcBorders>
              <w:top w:val="nil"/>
              <w:left w:val="nil"/>
            </w:tcBorders>
            <w:shd w:val="clear" w:color="auto" w:fill="auto"/>
          </w:tcPr>
          <w:p w:rsidR="00A853F5" w:rsidRPr="00A853F5" w:rsidRDefault="00CE557B" w:rsidP="00A853F5">
            <w:pPr>
              <w:autoSpaceDE w:val="0"/>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w:t>
            </w:r>
            <w:r w:rsidR="00A853F5" w:rsidRPr="00A853F5">
              <w:rPr>
                <w:rFonts w:ascii="Times New Roman" w:hAnsi="Times New Roman" w:cs="Times New Roman"/>
                <w:i/>
                <w:sz w:val="20"/>
                <w:szCs w:val="20"/>
              </w:rPr>
              <w:t>Mii lei, preţuri curente</w:t>
            </w:r>
            <w:r>
              <w:rPr>
                <w:rFonts w:ascii="Times New Roman" w:hAnsi="Times New Roman" w:cs="Times New Roman"/>
                <w:i/>
                <w:sz w:val="20"/>
                <w:szCs w:val="20"/>
              </w:rPr>
              <w:t>)</w:t>
            </w:r>
          </w:p>
        </w:tc>
      </w:tr>
      <w:tr w:rsidR="00A853F5" w:rsidRPr="00A853F5" w:rsidTr="00DC2675">
        <w:trPr>
          <w:jc w:val="center"/>
        </w:trPr>
        <w:tc>
          <w:tcPr>
            <w:tcW w:w="1818" w:type="dxa"/>
            <w:vMerge w:val="restart"/>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Orașul/comuna</w:t>
            </w:r>
          </w:p>
        </w:tc>
        <w:tc>
          <w:tcPr>
            <w:tcW w:w="2250" w:type="dxa"/>
            <w:gridSpan w:val="2"/>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2011</w:t>
            </w:r>
          </w:p>
        </w:tc>
        <w:tc>
          <w:tcPr>
            <w:tcW w:w="2532" w:type="dxa"/>
            <w:gridSpan w:val="2"/>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2012</w:t>
            </w:r>
          </w:p>
        </w:tc>
        <w:tc>
          <w:tcPr>
            <w:tcW w:w="2598" w:type="dxa"/>
            <w:gridSpan w:val="2"/>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2013</w:t>
            </w:r>
          </w:p>
        </w:tc>
      </w:tr>
      <w:tr w:rsidR="00A853F5" w:rsidRPr="00A853F5" w:rsidTr="00DC2675">
        <w:trPr>
          <w:jc w:val="center"/>
        </w:trPr>
        <w:tc>
          <w:tcPr>
            <w:tcW w:w="1818" w:type="dxa"/>
            <w:vMerge/>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p>
        </w:tc>
        <w:tc>
          <w:tcPr>
            <w:tcW w:w="111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Venituri</w:t>
            </w:r>
          </w:p>
        </w:tc>
        <w:tc>
          <w:tcPr>
            <w:tcW w:w="1134"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Cheltuieli</w:t>
            </w:r>
          </w:p>
        </w:tc>
        <w:tc>
          <w:tcPr>
            <w:tcW w:w="126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Venituri</w:t>
            </w:r>
          </w:p>
        </w:tc>
        <w:tc>
          <w:tcPr>
            <w:tcW w:w="126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Cheltuieli</w:t>
            </w:r>
          </w:p>
        </w:tc>
        <w:tc>
          <w:tcPr>
            <w:tcW w:w="126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Venituri</w:t>
            </w:r>
          </w:p>
        </w:tc>
        <w:tc>
          <w:tcPr>
            <w:tcW w:w="1332"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Cheltuieli</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Timișoara</w:t>
            </w:r>
          </w:p>
        </w:tc>
        <w:tc>
          <w:tcPr>
            <w:tcW w:w="111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676.057,99</w:t>
            </w:r>
          </w:p>
        </w:tc>
        <w:tc>
          <w:tcPr>
            <w:tcW w:w="1134"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680.770,86</w:t>
            </w:r>
          </w:p>
        </w:tc>
        <w:tc>
          <w:tcPr>
            <w:tcW w:w="126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900.331,73</w:t>
            </w:r>
          </w:p>
        </w:tc>
        <w:tc>
          <w:tcPr>
            <w:tcW w:w="126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929.971,24</w:t>
            </w:r>
          </w:p>
        </w:tc>
        <w:tc>
          <w:tcPr>
            <w:tcW w:w="1266"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1.036.655,79</w:t>
            </w:r>
          </w:p>
        </w:tc>
        <w:tc>
          <w:tcPr>
            <w:tcW w:w="1332"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1.038.603,04</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Becicherecul Mic</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4.585,34</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4.573,77</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5.309,13</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5.324,49</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4.617,82</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4.546,19</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Bucovăţ</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2.662,57</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3.089,14</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3.057,25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3.662,25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2.983,76</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3.025,26</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Dudeștii Noi</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7.561,44</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7.082,48</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5.768,25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6.675,47</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6.840,82</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6.839,59</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Dumbrăviţa</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13.744,05</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13.698,91</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14.246,89</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14.167,04</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16.370,98</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16.271,46</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Ghiroda</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21.202,99</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11. 872,99</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26.890,10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11.984,32</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31.881,96</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17.743,49</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Giarmata</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8520,44</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7512,12</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8929,65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9091,47</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10.496,31</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7.655,05</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Giroc</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19.440,055</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19.269,506</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19.327,881</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19.478,235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22.470,167</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22.028,958</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Moşniţa Nouă</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7273,57</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6.541,40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12.145,51</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12.132,74</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10.766,18</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10.115,75</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Orţișoara</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6297,82</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6288,89</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7084,32</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7201,48</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7789,24</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7377,77</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Parţa</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5442,310</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5442,310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5939,210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6413,990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7071,180</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7521,760</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Pișchia</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11.622,33</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11.202,55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8.163,47</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8.141,59</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6.917,15</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5.923,41</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Remetea Mare</w:t>
            </w:r>
          </w:p>
        </w:tc>
        <w:tc>
          <w:tcPr>
            <w:tcW w:w="1116" w:type="dxa"/>
            <w:shd w:val="clear" w:color="auto" w:fill="auto"/>
            <w:vAlign w:val="center"/>
          </w:tcPr>
          <w:p w:rsidR="00A853F5" w:rsidRPr="00A853F5" w:rsidRDefault="00A853F5" w:rsidP="00A853F5">
            <w:pPr>
              <w:spacing w:after="0" w:line="240" w:lineRule="auto"/>
              <w:jc w:val="right"/>
              <w:rPr>
                <w:rFonts w:ascii="Times New Roman" w:hAnsi="Times New Roman" w:cs="Times New Roman"/>
                <w:bCs/>
                <w:sz w:val="20"/>
                <w:szCs w:val="20"/>
              </w:rPr>
            </w:pPr>
            <w:r w:rsidRPr="00A853F5">
              <w:rPr>
                <w:rFonts w:ascii="Times New Roman" w:hAnsi="Times New Roman" w:cs="Times New Roman"/>
                <w:bCs/>
                <w:sz w:val="20"/>
                <w:szCs w:val="20"/>
              </w:rPr>
              <w:t>3365,508</w:t>
            </w:r>
          </w:p>
        </w:tc>
        <w:tc>
          <w:tcPr>
            <w:tcW w:w="1134" w:type="dxa"/>
            <w:shd w:val="clear" w:color="auto" w:fill="auto"/>
            <w:vAlign w:val="center"/>
          </w:tcPr>
          <w:p w:rsidR="00A853F5" w:rsidRPr="00A853F5" w:rsidRDefault="00A853F5" w:rsidP="00A853F5">
            <w:pPr>
              <w:spacing w:after="0" w:line="240" w:lineRule="auto"/>
              <w:jc w:val="right"/>
              <w:rPr>
                <w:rFonts w:ascii="Times New Roman" w:hAnsi="Times New Roman" w:cs="Times New Roman"/>
                <w:bCs/>
                <w:sz w:val="20"/>
                <w:szCs w:val="20"/>
              </w:rPr>
            </w:pPr>
            <w:r w:rsidRPr="00A853F5">
              <w:rPr>
                <w:rFonts w:ascii="Times New Roman" w:hAnsi="Times New Roman" w:cs="Times New Roman"/>
                <w:bCs/>
                <w:sz w:val="20"/>
                <w:szCs w:val="20"/>
              </w:rPr>
              <w:t>2393,159</w:t>
            </w:r>
          </w:p>
        </w:tc>
        <w:tc>
          <w:tcPr>
            <w:tcW w:w="1266" w:type="dxa"/>
            <w:shd w:val="clear" w:color="auto" w:fill="auto"/>
            <w:vAlign w:val="center"/>
          </w:tcPr>
          <w:p w:rsidR="00A853F5" w:rsidRPr="00A853F5" w:rsidRDefault="00A853F5" w:rsidP="00A853F5">
            <w:pPr>
              <w:spacing w:after="0" w:line="240" w:lineRule="auto"/>
              <w:jc w:val="right"/>
              <w:rPr>
                <w:rFonts w:ascii="Times New Roman" w:hAnsi="Times New Roman" w:cs="Times New Roman"/>
                <w:bCs/>
                <w:sz w:val="20"/>
                <w:szCs w:val="20"/>
              </w:rPr>
            </w:pPr>
            <w:r w:rsidRPr="00A853F5">
              <w:rPr>
                <w:rFonts w:ascii="Times New Roman" w:hAnsi="Times New Roman" w:cs="Times New Roman"/>
                <w:bCs/>
                <w:sz w:val="20"/>
                <w:szCs w:val="20"/>
              </w:rPr>
              <w:t>2485,732</w:t>
            </w:r>
          </w:p>
        </w:tc>
        <w:tc>
          <w:tcPr>
            <w:tcW w:w="1266" w:type="dxa"/>
            <w:shd w:val="clear" w:color="auto" w:fill="auto"/>
            <w:vAlign w:val="center"/>
          </w:tcPr>
          <w:p w:rsidR="00A853F5" w:rsidRPr="00A853F5" w:rsidRDefault="00A853F5" w:rsidP="00A853F5">
            <w:pPr>
              <w:spacing w:after="0" w:line="240" w:lineRule="auto"/>
              <w:jc w:val="right"/>
              <w:rPr>
                <w:rFonts w:ascii="Times New Roman" w:hAnsi="Times New Roman" w:cs="Times New Roman"/>
                <w:bCs/>
                <w:sz w:val="20"/>
                <w:szCs w:val="20"/>
              </w:rPr>
            </w:pPr>
            <w:r w:rsidRPr="00A853F5">
              <w:rPr>
                <w:rFonts w:ascii="Times New Roman" w:hAnsi="Times New Roman" w:cs="Times New Roman"/>
                <w:bCs/>
                <w:sz w:val="20"/>
                <w:szCs w:val="20"/>
              </w:rPr>
              <w:t>2219,267</w:t>
            </w:r>
          </w:p>
        </w:tc>
        <w:tc>
          <w:tcPr>
            <w:tcW w:w="1266" w:type="dxa"/>
            <w:shd w:val="clear" w:color="auto" w:fill="auto"/>
            <w:vAlign w:val="center"/>
          </w:tcPr>
          <w:p w:rsidR="00A853F5" w:rsidRPr="00A853F5" w:rsidRDefault="00A853F5" w:rsidP="00A853F5">
            <w:pPr>
              <w:spacing w:after="0" w:line="240" w:lineRule="auto"/>
              <w:jc w:val="right"/>
              <w:rPr>
                <w:rFonts w:ascii="Times New Roman" w:hAnsi="Times New Roman" w:cs="Times New Roman"/>
                <w:bCs/>
                <w:sz w:val="20"/>
                <w:szCs w:val="20"/>
              </w:rPr>
            </w:pPr>
            <w:r w:rsidRPr="00A853F5">
              <w:rPr>
                <w:rFonts w:ascii="Times New Roman" w:hAnsi="Times New Roman" w:cs="Times New Roman"/>
                <w:bCs/>
                <w:sz w:val="20"/>
                <w:szCs w:val="20"/>
              </w:rPr>
              <w:t>3480,183</w:t>
            </w:r>
          </w:p>
        </w:tc>
        <w:tc>
          <w:tcPr>
            <w:tcW w:w="1332" w:type="dxa"/>
            <w:shd w:val="clear" w:color="auto" w:fill="auto"/>
            <w:vAlign w:val="center"/>
          </w:tcPr>
          <w:p w:rsidR="00A853F5" w:rsidRPr="00A853F5" w:rsidRDefault="00A853F5" w:rsidP="00A853F5">
            <w:pPr>
              <w:spacing w:after="0" w:line="240" w:lineRule="auto"/>
              <w:jc w:val="right"/>
              <w:rPr>
                <w:rFonts w:ascii="Times New Roman" w:hAnsi="Times New Roman" w:cs="Times New Roman"/>
                <w:bCs/>
                <w:sz w:val="20"/>
                <w:szCs w:val="20"/>
              </w:rPr>
            </w:pPr>
            <w:r w:rsidRPr="00A853F5">
              <w:rPr>
                <w:rFonts w:ascii="Times New Roman" w:hAnsi="Times New Roman" w:cs="Times New Roman"/>
                <w:bCs/>
                <w:sz w:val="20"/>
                <w:szCs w:val="20"/>
              </w:rPr>
              <w:t>2501,347</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Săcălaz</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16.696,442</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12.883,967</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18.542,672</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15.464,755</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22.617,095</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22.549,296</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Sânmihaiul Român</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7541,81</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8052,83</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7115,18</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7809,54</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7513,44</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7852,36</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Șag</w:t>
            </w:r>
          </w:p>
        </w:tc>
        <w:tc>
          <w:tcPr>
            <w:tcW w:w="111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5237,00</w:t>
            </w:r>
          </w:p>
        </w:tc>
        <w:tc>
          <w:tcPr>
            <w:tcW w:w="1134"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4295,00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4089,00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4463,00</w:t>
            </w:r>
          </w:p>
        </w:tc>
        <w:tc>
          <w:tcPr>
            <w:tcW w:w="1266"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4347,00</w:t>
            </w:r>
          </w:p>
        </w:tc>
        <w:tc>
          <w:tcPr>
            <w:tcW w:w="1332" w:type="dxa"/>
            <w:shd w:val="clear" w:color="auto" w:fill="auto"/>
          </w:tcPr>
          <w:p w:rsidR="00A853F5" w:rsidRPr="00A853F5" w:rsidRDefault="00A853F5" w:rsidP="00A853F5">
            <w:pPr>
              <w:autoSpaceDE w:val="0"/>
              <w:spacing w:after="0" w:line="240" w:lineRule="auto"/>
              <w:jc w:val="right"/>
              <w:rPr>
                <w:rFonts w:ascii="Times New Roman" w:hAnsi="Times New Roman" w:cs="Times New Roman"/>
                <w:sz w:val="20"/>
                <w:szCs w:val="20"/>
              </w:rPr>
            </w:pPr>
            <w:r w:rsidRPr="00A853F5">
              <w:rPr>
                <w:rFonts w:ascii="Times New Roman" w:hAnsi="Times New Roman" w:cs="Times New Roman"/>
                <w:sz w:val="20"/>
                <w:szCs w:val="20"/>
              </w:rPr>
              <w:t>4546,00</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i/>
                <w:sz w:val="20"/>
                <w:szCs w:val="20"/>
              </w:rPr>
            </w:pPr>
            <w:r w:rsidRPr="00A853F5">
              <w:rPr>
                <w:rFonts w:ascii="Times New Roman" w:hAnsi="Times New Roman" w:cs="Times New Roman"/>
                <w:i/>
                <w:sz w:val="20"/>
                <w:szCs w:val="20"/>
              </w:rPr>
              <w:t>Total rural</w:t>
            </w:r>
          </w:p>
        </w:tc>
        <w:tc>
          <w:tcPr>
            <w:tcW w:w="111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141.193,68</w:t>
            </w:r>
          </w:p>
        </w:tc>
        <w:tc>
          <w:tcPr>
            <w:tcW w:w="1134"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112.326,03</w:t>
            </w:r>
          </w:p>
        </w:tc>
        <w:tc>
          <w:tcPr>
            <w:tcW w:w="126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149.094,25</w:t>
            </w:r>
          </w:p>
        </w:tc>
        <w:tc>
          <w:tcPr>
            <w:tcW w:w="126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134.229,64</w:t>
            </w:r>
          </w:p>
        </w:tc>
        <w:tc>
          <w:tcPr>
            <w:tcW w:w="126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166.163,29</w:t>
            </w:r>
          </w:p>
        </w:tc>
        <w:tc>
          <w:tcPr>
            <w:tcW w:w="1332"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146.497,69</w:t>
            </w:r>
          </w:p>
        </w:tc>
      </w:tr>
      <w:tr w:rsidR="00A853F5" w:rsidRPr="00A853F5" w:rsidTr="00DC2675">
        <w:trPr>
          <w:jc w:val="center"/>
        </w:trPr>
        <w:tc>
          <w:tcPr>
            <w:tcW w:w="1818" w:type="dxa"/>
            <w:shd w:val="clear" w:color="auto" w:fill="auto"/>
          </w:tcPr>
          <w:p w:rsidR="00A853F5" w:rsidRPr="00A853F5" w:rsidRDefault="00A853F5" w:rsidP="00A853F5">
            <w:pPr>
              <w:autoSpaceDE w:val="0"/>
              <w:spacing w:after="0" w:line="240" w:lineRule="auto"/>
              <w:jc w:val="both"/>
              <w:rPr>
                <w:rFonts w:ascii="Times New Roman" w:hAnsi="Times New Roman" w:cs="Times New Roman"/>
                <w:i/>
                <w:sz w:val="20"/>
                <w:szCs w:val="20"/>
              </w:rPr>
            </w:pPr>
            <w:r w:rsidRPr="00A853F5">
              <w:rPr>
                <w:rFonts w:ascii="Times New Roman" w:hAnsi="Times New Roman" w:cs="Times New Roman"/>
                <w:i/>
                <w:sz w:val="20"/>
                <w:szCs w:val="20"/>
              </w:rPr>
              <w:t>Total pol creștere</w:t>
            </w:r>
          </w:p>
        </w:tc>
        <w:tc>
          <w:tcPr>
            <w:tcW w:w="111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817.251,67</w:t>
            </w:r>
          </w:p>
        </w:tc>
        <w:tc>
          <w:tcPr>
            <w:tcW w:w="1134"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793.096,89</w:t>
            </w:r>
          </w:p>
        </w:tc>
        <w:tc>
          <w:tcPr>
            <w:tcW w:w="126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highlight w:val="yellow"/>
              </w:rPr>
            </w:pPr>
            <w:r w:rsidRPr="00A853F5">
              <w:rPr>
                <w:rFonts w:ascii="Times New Roman" w:hAnsi="Times New Roman" w:cs="Times New Roman"/>
                <w:sz w:val="20"/>
                <w:szCs w:val="20"/>
              </w:rPr>
              <w:t>1.049.425,98</w:t>
            </w:r>
          </w:p>
        </w:tc>
        <w:tc>
          <w:tcPr>
            <w:tcW w:w="126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1.064.200,88</w:t>
            </w:r>
          </w:p>
        </w:tc>
        <w:tc>
          <w:tcPr>
            <w:tcW w:w="1266"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1.202.819,08</w:t>
            </w:r>
          </w:p>
        </w:tc>
        <w:tc>
          <w:tcPr>
            <w:tcW w:w="1332" w:type="dxa"/>
            <w:shd w:val="clear" w:color="auto" w:fill="auto"/>
          </w:tcPr>
          <w:p w:rsidR="00A853F5" w:rsidRPr="00A853F5" w:rsidRDefault="00A853F5" w:rsidP="00A853F5">
            <w:pPr>
              <w:spacing w:after="0" w:line="240" w:lineRule="auto"/>
              <w:jc w:val="both"/>
              <w:rPr>
                <w:rFonts w:ascii="Times New Roman" w:hAnsi="Times New Roman" w:cs="Times New Roman"/>
                <w:sz w:val="20"/>
                <w:szCs w:val="20"/>
              </w:rPr>
            </w:pPr>
            <w:r w:rsidRPr="00A853F5">
              <w:rPr>
                <w:rFonts w:ascii="Times New Roman" w:hAnsi="Times New Roman" w:cs="Times New Roman"/>
                <w:sz w:val="20"/>
                <w:szCs w:val="20"/>
              </w:rPr>
              <w:t>1.185.100,73</w:t>
            </w:r>
          </w:p>
        </w:tc>
      </w:tr>
    </w:tbl>
    <w:p w:rsidR="00A853F5" w:rsidRDefault="00CE557B" w:rsidP="00CE557B">
      <w:pPr>
        <w:spacing w:after="0" w:line="240" w:lineRule="auto"/>
        <w:jc w:val="center"/>
        <w:rPr>
          <w:rFonts w:ascii="Times New Roman" w:hAnsi="Times New Roman" w:cs="Times New Roman"/>
          <w:i/>
          <w:sz w:val="18"/>
          <w:szCs w:val="18"/>
          <w:lang w:val="fr-FR"/>
        </w:rPr>
      </w:pPr>
      <w:r>
        <w:rPr>
          <w:rFonts w:ascii="Times New Roman" w:hAnsi="Times New Roman" w:cs="Times New Roman"/>
          <w:i/>
          <w:sz w:val="18"/>
          <w:szCs w:val="18"/>
          <w:lang w:val="fr-FR"/>
        </w:rPr>
        <w:t>(</w:t>
      </w:r>
      <w:r w:rsidRPr="00CE557B">
        <w:rPr>
          <w:rFonts w:ascii="Times New Roman" w:hAnsi="Times New Roman" w:cs="Times New Roman"/>
          <w:i/>
          <w:sz w:val="18"/>
          <w:szCs w:val="18"/>
          <w:lang w:val="fr-FR"/>
        </w:rPr>
        <w:t>Sursa: date furnizate de primăriile UAT-urilor membre ale PCT</w:t>
      </w:r>
      <w:r>
        <w:rPr>
          <w:rFonts w:ascii="Times New Roman" w:hAnsi="Times New Roman" w:cs="Times New Roman"/>
          <w:i/>
          <w:sz w:val="18"/>
          <w:szCs w:val="18"/>
          <w:lang w:val="fr-FR"/>
        </w:rPr>
        <w:t>)</w:t>
      </w:r>
    </w:p>
    <w:p w:rsidR="00CE557B" w:rsidRPr="00CE557B" w:rsidRDefault="00CE557B" w:rsidP="00CE557B">
      <w:pPr>
        <w:spacing w:after="0" w:line="240" w:lineRule="auto"/>
        <w:jc w:val="center"/>
        <w:rPr>
          <w:rFonts w:ascii="Times New Roman" w:hAnsi="Times New Roman" w:cs="Times New Roman"/>
          <w:i/>
          <w:sz w:val="18"/>
          <w:szCs w:val="18"/>
          <w:lang w:val="fr-FR"/>
        </w:rPr>
      </w:pPr>
    </w:p>
    <w:p w:rsidR="00327D8D" w:rsidRPr="00F03FC8" w:rsidRDefault="00A853F5" w:rsidP="006E791C">
      <w:pPr>
        <w:spacing w:after="0" w:line="240" w:lineRule="auto"/>
        <w:ind w:firstLine="720"/>
        <w:jc w:val="both"/>
        <w:rPr>
          <w:rFonts w:ascii="Times New Roman" w:hAnsi="Times New Roman" w:cs="Times New Roman"/>
          <w:sz w:val="24"/>
          <w:szCs w:val="24"/>
          <w:lang w:val="fr-FR"/>
        </w:rPr>
      </w:pPr>
      <w:r w:rsidRPr="00F03FC8">
        <w:rPr>
          <w:rFonts w:ascii="Times New Roman" w:hAnsi="Times New Roman" w:cs="Times New Roman"/>
          <w:sz w:val="24"/>
          <w:szCs w:val="24"/>
          <w:lang w:val="fr-FR"/>
        </w:rPr>
        <w:t xml:space="preserve">Dintre comune, bugetele cel mai mari sunt administrate de localităţile care ocupă locuri fruntașe și la alţi indicatori social-economici, cum ar fi numărul de salariaţi, cifra de afaceri sau profitul brut. Astfel, comunele Săcălaz și Giroc au bugete anuale de peste 22 de milioane lei fiecare, urmate îndeaproape de comunele Ghiroda și Dumbrăviţa, cu 16-17 mil. lei. Bugete </w:t>
      </w:r>
      <w:r w:rsidRPr="0080457A">
        <w:rPr>
          <w:rFonts w:ascii="Times New Roman" w:hAnsi="Times New Roman" w:cs="Times New Roman"/>
          <w:sz w:val="24"/>
          <w:szCs w:val="24"/>
          <w:lang w:val="fr-FR"/>
        </w:rPr>
        <w:t>modeste administrează comunele Remetea Mare și Bucovăţ, cu mai puţin de 4 mil. lei fiecare</w:t>
      </w:r>
      <w:r w:rsidR="003C205B" w:rsidRPr="0080457A">
        <w:rPr>
          <w:rFonts w:ascii="Times New Roman" w:hAnsi="Times New Roman" w:cs="Times New Roman"/>
          <w:sz w:val="24"/>
          <w:szCs w:val="24"/>
          <w:lang w:val="fr-FR"/>
        </w:rPr>
        <w:t xml:space="preserve"> </w:t>
      </w:r>
      <w:r w:rsidR="006E791C" w:rsidRPr="0080457A">
        <w:rPr>
          <w:rFonts w:ascii="Times New Roman" w:hAnsi="Times New Roman" w:cs="Times New Roman"/>
          <w:color w:val="000000" w:themeColor="text1"/>
          <w:sz w:val="24"/>
          <w:szCs w:val="24"/>
          <w:lang w:val="fr-FR"/>
        </w:rPr>
        <w:t xml:space="preserve">(tabelul </w:t>
      </w:r>
      <w:r w:rsidR="0072394C" w:rsidRPr="0080457A">
        <w:rPr>
          <w:rFonts w:ascii="Times New Roman" w:hAnsi="Times New Roman" w:cs="Times New Roman"/>
          <w:color w:val="000000" w:themeColor="text1"/>
          <w:sz w:val="24"/>
          <w:szCs w:val="24"/>
          <w:lang w:val="fr-FR"/>
        </w:rPr>
        <w:t>3</w:t>
      </w:r>
      <w:r w:rsidR="003C205B" w:rsidRPr="0080457A">
        <w:rPr>
          <w:rFonts w:ascii="Times New Roman" w:hAnsi="Times New Roman" w:cs="Times New Roman"/>
          <w:color w:val="000000" w:themeColor="text1"/>
          <w:sz w:val="24"/>
          <w:szCs w:val="24"/>
          <w:lang w:val="fr-FR"/>
        </w:rPr>
        <w:t>)</w:t>
      </w:r>
      <w:r w:rsidRPr="0080457A">
        <w:rPr>
          <w:rFonts w:ascii="Times New Roman" w:hAnsi="Times New Roman" w:cs="Times New Roman"/>
          <w:color w:val="000000" w:themeColor="text1"/>
          <w:sz w:val="24"/>
          <w:szCs w:val="24"/>
          <w:lang w:val="fr-FR"/>
        </w:rPr>
        <w:t>.</w:t>
      </w:r>
      <w:r w:rsidRPr="0080457A">
        <w:rPr>
          <w:rFonts w:ascii="Times New Roman" w:hAnsi="Times New Roman" w:cs="Times New Roman"/>
          <w:sz w:val="24"/>
          <w:szCs w:val="24"/>
          <w:lang w:val="fr-FR"/>
        </w:rPr>
        <w:t xml:space="preserve"> Acestea</w:t>
      </w:r>
      <w:r w:rsidRPr="00F03FC8">
        <w:rPr>
          <w:rFonts w:ascii="Times New Roman" w:hAnsi="Times New Roman" w:cs="Times New Roman"/>
          <w:sz w:val="24"/>
          <w:szCs w:val="24"/>
          <w:lang w:val="fr-FR"/>
        </w:rPr>
        <w:t>, ca și alte comune, încă neantrenate în expansiunea economică locală sau situate în inelul al doilea de UAT-uri din arelaul polului, constituie spaţii predilecte de creștere economică viitoare, pe măsură ce spaţiile viabilizabile pentru investiţii vor fi ocupate în comunelke deja dezvoltate, iar preţurile terenurilor vor avantaja locaţii noi. Dintre acestea, perspective remarcabile au comunele străbătute de autostrada Nădlac – Timișoara – Lugoj (Giarmata, Sânandrei, Remetea Mare etc.), care vor găzdui principalele platforme de producţie și servicii economice care vor fi amenajate în preajma autostrăzii.</w:t>
      </w:r>
    </w:p>
    <w:sectPr w:rsidR="00327D8D" w:rsidRPr="00F03FC8" w:rsidSect="0080457A">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708" w:footer="288" w:gutter="0"/>
      <w:pgNumType w:start="19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DD9" w:rsidRDefault="00A35DD9" w:rsidP="00632180">
      <w:pPr>
        <w:spacing w:after="0" w:line="240" w:lineRule="auto"/>
      </w:pPr>
      <w:r>
        <w:separator/>
      </w:r>
    </w:p>
  </w:endnote>
  <w:endnote w:type="continuationSeparator" w:id="1">
    <w:p w:rsidR="00A35DD9" w:rsidRDefault="00A35DD9" w:rsidP="00632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Pro-Regular">
    <w:altName w:val="Arial Unicode MS"/>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55" w:rsidRDefault="001C6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50" w:type="dxa"/>
      <w:tblInd w:w="-115" w:type="dxa"/>
      <w:tblLayout w:type="fixed"/>
      <w:tblCellMar>
        <w:top w:w="72" w:type="dxa"/>
        <w:left w:w="115" w:type="dxa"/>
        <w:bottom w:w="72" w:type="dxa"/>
        <w:right w:w="115" w:type="dxa"/>
      </w:tblCellMar>
      <w:tblLook w:val="0000"/>
    </w:tblPr>
    <w:tblGrid>
      <w:gridCol w:w="9140"/>
      <w:gridCol w:w="810"/>
    </w:tblGrid>
    <w:tr w:rsidR="00017170" w:rsidTr="008A2BAA">
      <w:trPr>
        <w:trHeight w:val="908"/>
      </w:trPr>
      <w:tc>
        <w:tcPr>
          <w:tcW w:w="9140" w:type="dxa"/>
          <w:tcBorders>
            <w:top w:val="single" w:sz="4" w:space="0" w:color="000000"/>
          </w:tcBorders>
        </w:tcPr>
        <w:p w:rsidR="00017170" w:rsidRPr="00642C4F" w:rsidRDefault="00017170" w:rsidP="00642C4F">
          <w:pPr>
            <w:pStyle w:val="normal0"/>
            <w:jc w:val="right"/>
            <w:rPr>
              <w:sz w:val="22"/>
              <w:szCs w:val="22"/>
              <w:lang w:val="fr-FR"/>
            </w:rPr>
          </w:pPr>
          <w:r w:rsidRPr="00642C4F">
            <w:rPr>
              <w:sz w:val="22"/>
              <w:szCs w:val="22"/>
              <w:lang w:val="fr-FR"/>
            </w:rPr>
            <w:t xml:space="preserve">Întocmit: </w:t>
          </w:r>
        </w:p>
        <w:p w:rsidR="00017170" w:rsidRPr="00642C4F" w:rsidRDefault="00017170" w:rsidP="00642C4F">
          <w:pPr>
            <w:pStyle w:val="normal0"/>
            <w:jc w:val="right"/>
            <w:rPr>
              <w:sz w:val="22"/>
              <w:szCs w:val="22"/>
              <w:lang w:val="fr-FR"/>
            </w:rPr>
          </w:pPr>
          <w:r w:rsidRPr="00642C4F">
            <w:rPr>
              <w:sz w:val="22"/>
              <w:szCs w:val="22"/>
              <w:lang w:val="fr-FR"/>
            </w:rPr>
            <w:t xml:space="preserve">Primăria Municipiului Timişoara, Direcția Dezvoltare ; </w:t>
          </w:r>
        </w:p>
        <w:p w:rsidR="00017170" w:rsidRPr="00276B18" w:rsidRDefault="00017170" w:rsidP="00642C4F">
          <w:pPr>
            <w:pStyle w:val="normal0"/>
            <w:jc w:val="right"/>
            <w:rPr>
              <w:lang w:val="fr-FR"/>
            </w:rPr>
          </w:pPr>
          <w:r w:rsidRPr="00642C4F">
            <w:rPr>
              <w:sz w:val="22"/>
              <w:szCs w:val="22"/>
              <w:lang w:val="fr-FR"/>
            </w:rPr>
            <w:t>Universitatea de Vest din Timișoara, Departamentul de Geografie – CDR-START</w:t>
          </w:r>
          <w:r w:rsidRPr="00276B18">
            <w:rPr>
              <w:lang w:val="fr-FR"/>
            </w:rPr>
            <w:t xml:space="preserve"> </w:t>
          </w:r>
        </w:p>
      </w:tc>
      <w:tc>
        <w:tcPr>
          <w:tcW w:w="810" w:type="dxa"/>
          <w:tcBorders>
            <w:top w:val="single" w:sz="4" w:space="0" w:color="C0504D"/>
          </w:tcBorders>
          <w:shd w:val="clear" w:color="auto" w:fill="943634"/>
        </w:tcPr>
        <w:p w:rsidR="00017170" w:rsidRDefault="006029BD" w:rsidP="00017170">
          <w:pPr>
            <w:pStyle w:val="normal0"/>
            <w:spacing w:after="720"/>
          </w:pPr>
          <w:fldSimple w:instr="PAGE">
            <w:r w:rsidR="00A05918">
              <w:rPr>
                <w:noProof/>
              </w:rPr>
              <w:t>197</w:t>
            </w:r>
          </w:fldSimple>
        </w:p>
      </w:tc>
    </w:tr>
  </w:tbl>
  <w:p w:rsidR="00017170" w:rsidRDefault="000171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55" w:rsidRDefault="001C6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DD9" w:rsidRDefault="00A35DD9" w:rsidP="00632180">
      <w:pPr>
        <w:spacing w:after="0" w:line="240" w:lineRule="auto"/>
      </w:pPr>
      <w:r>
        <w:separator/>
      </w:r>
    </w:p>
  </w:footnote>
  <w:footnote w:type="continuationSeparator" w:id="1">
    <w:p w:rsidR="00A35DD9" w:rsidRDefault="00A35DD9" w:rsidP="00632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55" w:rsidRDefault="001C6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70" w:rsidRDefault="00017170" w:rsidP="00632180">
    <w:pPr>
      <w:pStyle w:val="normal0"/>
      <w:jc w:val="center"/>
    </w:pPr>
    <w:r>
      <w:rPr>
        <w:sz w:val="22"/>
        <w:szCs w:val="22"/>
      </w:rPr>
      <w:t>Strategia Integrată de Dezvoltare</w:t>
    </w:r>
    <w:r w:rsidR="001C6255">
      <w:rPr>
        <w:sz w:val="22"/>
        <w:szCs w:val="22"/>
      </w:rPr>
      <w:t xml:space="preserve"> Urbană</w:t>
    </w:r>
    <w:r>
      <w:rPr>
        <w:sz w:val="22"/>
        <w:szCs w:val="22"/>
      </w:rPr>
      <w:t xml:space="preserve"> 2015-2020</w:t>
    </w:r>
  </w:p>
  <w:p w:rsidR="00017170" w:rsidRDefault="00017170" w:rsidP="00632180">
    <w:pPr>
      <w:pStyle w:val="Header"/>
      <w:jc w:val="center"/>
    </w:pPr>
    <w:r>
      <w:t>Polul de Creștere Timișoara</w:t>
    </w:r>
  </w:p>
  <w:p w:rsidR="00017170" w:rsidRDefault="000171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55" w:rsidRDefault="001C6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74F5C"/>
    <w:multiLevelType w:val="hybridMultilevel"/>
    <w:tmpl w:val="62D062AE"/>
    <w:lvl w:ilvl="0" w:tplc="156C23FA">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4318B"/>
    <w:multiLevelType w:val="hybridMultilevel"/>
    <w:tmpl w:val="D64EEC5A"/>
    <w:lvl w:ilvl="0" w:tplc="FFFFFFFF">
      <w:start w:val="1"/>
      <w:numFmt w:val="bullet"/>
      <w:lvlText w:val=""/>
      <w:lvlJc w:val="left"/>
      <w:pPr>
        <w:tabs>
          <w:tab w:val="num" w:pos="780"/>
        </w:tabs>
        <w:ind w:left="780" w:hanging="360"/>
      </w:pPr>
      <w:rPr>
        <w:rFonts w:ascii="Wingdings" w:hAnsi="Wingdings"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nsid w:val="42853725"/>
    <w:multiLevelType w:val="hybridMultilevel"/>
    <w:tmpl w:val="068EF960"/>
    <w:lvl w:ilvl="0" w:tplc="82FECF6C">
      <w:start w:val="1"/>
      <w:numFmt w:val="decimal"/>
      <w:lvlText w:val="%1."/>
      <w:lvlJc w:val="left"/>
      <w:pPr>
        <w:ind w:left="270" w:hanging="360"/>
      </w:pPr>
      <w:rPr>
        <w:rFonts w:hint="default"/>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492A13E4"/>
    <w:multiLevelType w:val="hybridMultilevel"/>
    <w:tmpl w:val="4A2864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2DD406A"/>
    <w:multiLevelType w:val="hybridMultilevel"/>
    <w:tmpl w:val="0FEAD6E0"/>
    <w:lvl w:ilvl="0" w:tplc="C71655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E6B0C"/>
    <w:multiLevelType w:val="hybridMultilevel"/>
    <w:tmpl w:val="62D062AE"/>
    <w:lvl w:ilvl="0" w:tplc="156C23FA">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B05B9"/>
    <w:multiLevelType w:val="hybridMultilevel"/>
    <w:tmpl w:val="93B4F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42E14"/>
    <w:multiLevelType w:val="hybridMultilevel"/>
    <w:tmpl w:val="E5661D68"/>
    <w:lvl w:ilvl="0" w:tplc="6C82449E">
      <w:start w:val="1"/>
      <w:numFmt w:val="lowerLetter"/>
      <w:lvlText w:val="%1."/>
      <w:lvlJc w:val="left"/>
      <w:pPr>
        <w:ind w:left="81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A853F5"/>
    <w:rsid w:val="00017170"/>
    <w:rsid w:val="000A6DD0"/>
    <w:rsid w:val="00181B06"/>
    <w:rsid w:val="001C6255"/>
    <w:rsid w:val="002A2D0D"/>
    <w:rsid w:val="002D3114"/>
    <w:rsid w:val="00327D8D"/>
    <w:rsid w:val="003370F0"/>
    <w:rsid w:val="0034222F"/>
    <w:rsid w:val="00382A32"/>
    <w:rsid w:val="003C205B"/>
    <w:rsid w:val="0041250F"/>
    <w:rsid w:val="00413B38"/>
    <w:rsid w:val="00452DA2"/>
    <w:rsid w:val="00464664"/>
    <w:rsid w:val="00495288"/>
    <w:rsid w:val="004B7123"/>
    <w:rsid w:val="005301C9"/>
    <w:rsid w:val="006029BD"/>
    <w:rsid w:val="00632180"/>
    <w:rsid w:val="00642C4F"/>
    <w:rsid w:val="00686E2B"/>
    <w:rsid w:val="00690E78"/>
    <w:rsid w:val="006A7C4B"/>
    <w:rsid w:val="006B0B07"/>
    <w:rsid w:val="006E791C"/>
    <w:rsid w:val="0072394C"/>
    <w:rsid w:val="007B7645"/>
    <w:rsid w:val="0080457A"/>
    <w:rsid w:val="00827ED0"/>
    <w:rsid w:val="00861954"/>
    <w:rsid w:val="0088534E"/>
    <w:rsid w:val="00895C75"/>
    <w:rsid w:val="008A2BAA"/>
    <w:rsid w:val="00976344"/>
    <w:rsid w:val="00984841"/>
    <w:rsid w:val="009954A1"/>
    <w:rsid w:val="009B5B72"/>
    <w:rsid w:val="00A05918"/>
    <w:rsid w:val="00A24D3D"/>
    <w:rsid w:val="00A35DD9"/>
    <w:rsid w:val="00A80878"/>
    <w:rsid w:val="00A853F5"/>
    <w:rsid w:val="00AF0644"/>
    <w:rsid w:val="00AF0C75"/>
    <w:rsid w:val="00BC78A6"/>
    <w:rsid w:val="00BD1FE7"/>
    <w:rsid w:val="00BE7694"/>
    <w:rsid w:val="00C307E8"/>
    <w:rsid w:val="00C31370"/>
    <w:rsid w:val="00CA40CA"/>
    <w:rsid w:val="00CE557B"/>
    <w:rsid w:val="00D52807"/>
    <w:rsid w:val="00D773C7"/>
    <w:rsid w:val="00DC2675"/>
    <w:rsid w:val="00E3599E"/>
    <w:rsid w:val="00E54B4A"/>
    <w:rsid w:val="00E6777E"/>
    <w:rsid w:val="00E73D4C"/>
    <w:rsid w:val="00F03FC8"/>
    <w:rsid w:val="00F113AF"/>
    <w:rsid w:val="00F60628"/>
    <w:rsid w:val="00F66BDD"/>
    <w:rsid w:val="00F92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53F5"/>
    <w:pPr>
      <w:suppressAutoHyphens/>
      <w:spacing w:after="120" w:line="240" w:lineRule="auto"/>
      <w:ind w:left="360"/>
    </w:pPr>
    <w:rPr>
      <w:rFonts w:ascii="Times New Roman" w:eastAsia="Times New Roman" w:hAnsi="Times New Roman" w:cs="Times New Roman"/>
      <w:sz w:val="24"/>
      <w:szCs w:val="24"/>
      <w:lang w:val="ro-RO" w:eastAsia="ar-SA"/>
    </w:rPr>
  </w:style>
  <w:style w:type="character" w:customStyle="1" w:styleId="BodyTextIndentChar">
    <w:name w:val="Body Text Indent Char"/>
    <w:basedOn w:val="DefaultParagraphFont"/>
    <w:link w:val="BodyTextIndent"/>
    <w:rsid w:val="00A853F5"/>
    <w:rPr>
      <w:rFonts w:ascii="Times New Roman" w:eastAsia="Times New Roman" w:hAnsi="Times New Roman" w:cs="Times New Roman"/>
      <w:sz w:val="24"/>
      <w:szCs w:val="24"/>
      <w:lang w:val="ro-RO" w:eastAsia="ar-SA"/>
    </w:rPr>
  </w:style>
  <w:style w:type="character" w:styleId="Strong">
    <w:name w:val="Strong"/>
    <w:basedOn w:val="DefaultParagraphFont"/>
    <w:qFormat/>
    <w:rsid w:val="00A853F5"/>
    <w:rPr>
      <w:b/>
      <w:bCs/>
    </w:rPr>
  </w:style>
  <w:style w:type="character" w:styleId="Hyperlink">
    <w:name w:val="Hyperlink"/>
    <w:basedOn w:val="DefaultParagraphFont"/>
    <w:rsid w:val="00A853F5"/>
    <w:rPr>
      <w:color w:val="0000FF"/>
      <w:u w:val="single"/>
    </w:rPr>
  </w:style>
  <w:style w:type="paragraph" w:styleId="BlockText">
    <w:name w:val="Block Text"/>
    <w:basedOn w:val="Normal"/>
    <w:rsid w:val="00A853F5"/>
    <w:pPr>
      <w:spacing w:after="0" w:line="240" w:lineRule="auto"/>
      <w:ind w:left="-270" w:right="-158"/>
      <w:jc w:val="both"/>
    </w:pPr>
    <w:rPr>
      <w:rFonts w:ascii="Arial" w:eastAsia="Times New Roman" w:hAnsi="Arial" w:cs="Times New Roman"/>
      <w:color w:val="FF0000"/>
      <w:sz w:val="24"/>
      <w:szCs w:val="20"/>
      <w:lang w:val="it-IT"/>
    </w:rPr>
  </w:style>
  <w:style w:type="paragraph" w:styleId="Revision">
    <w:name w:val="Revision"/>
    <w:hidden/>
    <w:uiPriority w:val="99"/>
    <w:semiHidden/>
    <w:rsid w:val="00DC2675"/>
    <w:pPr>
      <w:spacing w:after="0" w:line="240" w:lineRule="auto"/>
    </w:pPr>
  </w:style>
  <w:style w:type="paragraph" w:styleId="BalloonText">
    <w:name w:val="Balloon Text"/>
    <w:basedOn w:val="Normal"/>
    <w:link w:val="BalloonTextChar"/>
    <w:uiPriority w:val="99"/>
    <w:semiHidden/>
    <w:unhideWhenUsed/>
    <w:rsid w:val="00DC2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75"/>
    <w:rPr>
      <w:rFonts w:ascii="Tahoma" w:hAnsi="Tahoma" w:cs="Tahoma"/>
      <w:sz w:val="16"/>
      <w:szCs w:val="16"/>
    </w:rPr>
  </w:style>
  <w:style w:type="paragraph" w:styleId="NormalWeb">
    <w:name w:val="Normal (Web)"/>
    <w:basedOn w:val="Normal"/>
    <w:uiPriority w:val="99"/>
    <w:semiHidden/>
    <w:unhideWhenUsed/>
    <w:rsid w:val="006A7C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21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32180"/>
  </w:style>
  <w:style w:type="paragraph" w:styleId="Footer">
    <w:name w:val="footer"/>
    <w:basedOn w:val="Normal"/>
    <w:link w:val="FooterChar"/>
    <w:uiPriority w:val="99"/>
    <w:semiHidden/>
    <w:unhideWhenUsed/>
    <w:rsid w:val="00632180"/>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632180"/>
  </w:style>
  <w:style w:type="paragraph" w:styleId="BodyText3">
    <w:name w:val="Body Text 3"/>
    <w:basedOn w:val="Normal"/>
    <w:link w:val="BodyText3Char"/>
    <w:uiPriority w:val="99"/>
    <w:semiHidden/>
    <w:unhideWhenUsed/>
    <w:rsid w:val="00632180"/>
    <w:pPr>
      <w:spacing w:after="120"/>
    </w:pPr>
    <w:rPr>
      <w:sz w:val="16"/>
      <w:szCs w:val="16"/>
    </w:rPr>
  </w:style>
  <w:style w:type="character" w:customStyle="1" w:styleId="BodyText3Char">
    <w:name w:val="Body Text 3 Char"/>
    <w:basedOn w:val="DefaultParagraphFont"/>
    <w:link w:val="BodyText3"/>
    <w:rsid w:val="00632180"/>
    <w:rPr>
      <w:sz w:val="16"/>
      <w:szCs w:val="16"/>
    </w:rPr>
  </w:style>
  <w:style w:type="paragraph" w:customStyle="1" w:styleId="normal0">
    <w:name w:val="normal"/>
    <w:rsid w:val="00632180"/>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6E79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861954"/>
    <w:pPr>
      <w:spacing w:after="120" w:line="240" w:lineRule="auto"/>
    </w:pPr>
    <w:rPr>
      <w:rFonts w:ascii="Times New Roman" w:eastAsia="Times New Roman" w:hAnsi="Times New Roman" w:cs="Times New Roman"/>
      <w:sz w:val="20"/>
      <w:szCs w:val="20"/>
      <w:lang w:val="en-AU"/>
    </w:rPr>
  </w:style>
  <w:style w:type="character" w:customStyle="1" w:styleId="BodyTextChar">
    <w:name w:val="Body Text Char"/>
    <w:basedOn w:val="DefaultParagraphFont"/>
    <w:link w:val="BodyText"/>
    <w:rsid w:val="00861954"/>
    <w:rPr>
      <w:rFonts w:ascii="Times New Roman" w:eastAsia="Times New Roman" w:hAnsi="Times New Roman" w:cs="Times New Roman"/>
      <w:sz w:val="20"/>
      <w:szCs w:val="20"/>
      <w:lang w:val="en-AU"/>
    </w:rPr>
  </w:style>
  <w:style w:type="character" w:customStyle="1" w:styleId="apple-converted-space">
    <w:name w:val="apple-converted-space"/>
    <w:basedOn w:val="DefaultParagraphFont"/>
    <w:rsid w:val="00861954"/>
  </w:style>
  <w:style w:type="paragraph" w:styleId="ListParagraph">
    <w:name w:val="List Paragraph"/>
    <w:basedOn w:val="Normal"/>
    <w:uiPriority w:val="34"/>
    <w:qFormat/>
    <w:rsid w:val="00E73D4C"/>
    <w:pPr>
      <w:ind w:left="720"/>
      <w:contextualSpacing/>
    </w:pPr>
  </w:style>
  <w:style w:type="paragraph" w:styleId="NoSpacing">
    <w:name w:val="No Spacing"/>
    <w:uiPriority w:val="1"/>
    <w:qFormat/>
    <w:rsid w:val="00BD1FE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225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tm.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imariatm.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fic.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595A5-7C30-4AC4-A308-4AD9A044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7070</Words>
  <Characters>40300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Geografie</dc:creator>
  <cp:keywords/>
  <dc:description/>
  <cp:lastModifiedBy>dghinea</cp:lastModifiedBy>
  <cp:revision>28</cp:revision>
  <dcterms:created xsi:type="dcterms:W3CDTF">2015-06-28T11:28:00Z</dcterms:created>
  <dcterms:modified xsi:type="dcterms:W3CDTF">2016-04-20T07:36:00Z</dcterms:modified>
</cp:coreProperties>
</file>