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</w:t>
      </w:r>
      <w:r w:rsidR="00C97BFA">
        <w:rPr>
          <w:b/>
          <w:w w:val="105"/>
          <w:sz w:val="23"/>
        </w:rPr>
        <w:t>-12359</w:t>
      </w:r>
      <w:r>
        <w:rPr>
          <w:b/>
          <w:w w:val="105"/>
          <w:sz w:val="23"/>
        </w:rPr>
        <w:t>/</w:t>
      </w:r>
      <w:r w:rsidR="002262E9">
        <w:rPr>
          <w:b/>
          <w:w w:val="105"/>
          <w:sz w:val="23"/>
        </w:rPr>
        <w:t>17</w:t>
      </w:r>
      <w:r>
        <w:rPr>
          <w:b/>
          <w:w w:val="105"/>
          <w:sz w:val="23"/>
        </w:rPr>
        <w:t>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F0410A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F0410A" w:rsidRPr="00F0410A">
        <w:rPr>
          <w:b/>
        </w:rPr>
        <w:t>Augustin Pacha, nr. 1</w:t>
      </w:r>
      <w:r w:rsidR="00F0410A"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F0410A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F0410A" w:rsidRPr="00F0410A">
        <w:t>Augustin Pacha, nr. 1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F0410A" w:rsidRPr="00F0410A">
        <w:rPr>
          <w:w w:val="105"/>
          <w:sz w:val="23"/>
        </w:rPr>
        <w:t>Augustin Pacha, nr. 1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F0410A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2A3F39">
        <w:rPr>
          <w:w w:val="105"/>
        </w:rPr>
        <w:t>8/II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2A3F39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2A3F39" w:rsidRPr="002A3F39">
        <w:rPr>
          <w:w w:val="105"/>
        </w:rPr>
        <w:t>Augustin Pacha, nr. 1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2A3F39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2262E9">
      <w:pPr>
        <w:pStyle w:val="BodyText"/>
        <w:spacing w:line="252" w:lineRule="auto"/>
        <w:ind w:right="113" w:firstLine="720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2A3F39">
        <w:rPr>
          <w:w w:val="105"/>
        </w:rPr>
        <w:t>3</w:t>
      </w:r>
      <w:r>
        <w:rPr>
          <w:w w:val="105"/>
        </w:rPr>
        <w:t>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2A3F39" w:rsidRPr="002A3F39">
        <w:rPr>
          <w:w w:val="105"/>
        </w:rPr>
        <w:t>Augustin Pacha, nr. 1</w:t>
      </w:r>
    </w:p>
    <w:p w:rsidR="001241D8" w:rsidRDefault="001241D8" w:rsidP="002262E9">
      <w:pPr>
        <w:pStyle w:val="BodyText"/>
        <w:ind w:left="0"/>
        <w:jc w:val="both"/>
        <w:rPr>
          <w:sz w:val="24"/>
        </w:rPr>
      </w:pPr>
    </w:p>
    <w:p w:rsidR="008A5F88" w:rsidRPr="002A3F39" w:rsidRDefault="007276DE" w:rsidP="002A3F3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2A3F39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>
        <w:rPr>
          <w:spacing w:val="1"/>
          <w:w w:val="105"/>
        </w:rPr>
        <w:t xml:space="preserve"> </w:t>
      </w:r>
      <w:r w:rsidR="002A3F39" w:rsidRPr="002A3F39">
        <w:rPr>
          <w:w w:val="105"/>
        </w:rPr>
        <w:t>Augustin Pacha, nr. 1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848" w:rsidRDefault="00A04848" w:rsidP="001241D8">
      <w:r>
        <w:separator/>
      </w:r>
    </w:p>
  </w:endnote>
  <w:endnote w:type="continuationSeparator" w:id="1">
    <w:p w:rsidR="00A04848" w:rsidRDefault="00A04848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848" w:rsidRDefault="00A04848" w:rsidP="001241D8">
      <w:r>
        <w:separator/>
      </w:r>
    </w:p>
  </w:footnote>
  <w:footnote w:type="continuationSeparator" w:id="1">
    <w:p w:rsidR="00A04848" w:rsidRDefault="00A04848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166F30">
    <w:pPr>
      <w:pStyle w:val="BodyText"/>
      <w:spacing w:line="14" w:lineRule="auto"/>
      <w:ind w:left="0"/>
      <w:rPr>
        <w:sz w:val="20"/>
      </w:rPr>
    </w:pPr>
    <w:r w:rsidRPr="00166F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166F30"/>
    <w:rsid w:val="002262E9"/>
    <w:rsid w:val="0022671C"/>
    <w:rsid w:val="002269CE"/>
    <w:rsid w:val="00280A8E"/>
    <w:rsid w:val="002A3F39"/>
    <w:rsid w:val="002F4F51"/>
    <w:rsid w:val="00362BF9"/>
    <w:rsid w:val="003672C4"/>
    <w:rsid w:val="003D3877"/>
    <w:rsid w:val="00401C5C"/>
    <w:rsid w:val="004A631C"/>
    <w:rsid w:val="005C2809"/>
    <w:rsid w:val="00647A16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04848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  <w:rsid w:val="00F0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14</cp:revision>
  <dcterms:created xsi:type="dcterms:W3CDTF">2021-12-16T12:40:00Z</dcterms:created>
  <dcterms:modified xsi:type="dcterms:W3CDTF">2021-12-17T10:19:00Z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