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0D" w:rsidRDefault="009B430D" w:rsidP="00A4510F">
      <w:pPr>
        <w:jc w:val="both"/>
        <w:rPr>
          <w:rFonts w:ascii="Times New Roman" w:hAnsi="Times New Roman"/>
          <w:sz w:val="24"/>
          <w:szCs w:val="24"/>
        </w:rPr>
      </w:pPr>
    </w:p>
    <w:p w:rsidR="00A4510F" w:rsidRPr="00A4510F" w:rsidRDefault="00A279B8" w:rsidP="00A4510F">
      <w:pPr>
        <w:jc w:val="both"/>
        <w:rPr>
          <w:rFonts w:ascii="Times New Roman" w:hAnsi="Times New Roman"/>
          <w:sz w:val="24"/>
          <w:szCs w:val="24"/>
        </w:rPr>
      </w:pPr>
      <w:r>
        <w:rPr>
          <w:rFonts w:ascii="Times New Roman" w:hAnsi="Times New Roman"/>
          <w:sz w:val="24"/>
          <w:szCs w:val="24"/>
        </w:rPr>
        <w:t>Nr.</w:t>
      </w:r>
      <w:r w:rsidR="00256625">
        <w:rPr>
          <w:rFonts w:ascii="Times New Roman" w:hAnsi="Times New Roman"/>
          <w:sz w:val="24"/>
          <w:szCs w:val="24"/>
        </w:rPr>
        <w:t>________________________</w:t>
      </w:r>
    </w:p>
    <w:p w:rsidR="00A4510F" w:rsidRPr="00A4510F" w:rsidRDefault="0048075E" w:rsidP="00A4510F">
      <w:pPr>
        <w:jc w:val="center"/>
        <w:rPr>
          <w:rFonts w:ascii="Times New Roman" w:hAnsi="Times New Roman"/>
          <w:sz w:val="24"/>
          <w:szCs w:val="24"/>
        </w:rPr>
      </w:pPr>
      <w:r w:rsidRPr="00A4510F">
        <w:rPr>
          <w:rFonts w:ascii="Times New Roman" w:hAnsi="Times New Roman"/>
          <w:sz w:val="24"/>
          <w:szCs w:val="24"/>
        </w:rPr>
        <w:t>REFERAT DE APROBARE A PROIECTULUI DE HOTĂRÂRE</w:t>
      </w:r>
    </w:p>
    <w:p w:rsidR="00A4510F" w:rsidRPr="00A4510F" w:rsidRDefault="000D722B" w:rsidP="00A4510F">
      <w:pPr>
        <w:jc w:val="center"/>
        <w:rPr>
          <w:rFonts w:ascii="Times New Roman" w:hAnsi="Times New Roman"/>
          <w:sz w:val="24"/>
          <w:szCs w:val="24"/>
        </w:rPr>
      </w:pPr>
      <w:r w:rsidRPr="00A4510F">
        <w:rPr>
          <w:rFonts w:ascii="Times New Roman" w:hAnsi="Times New Roman"/>
          <w:sz w:val="24"/>
          <w:szCs w:val="24"/>
        </w:rPr>
        <w:t>Secțiunea</w:t>
      </w:r>
      <w:r w:rsidR="0048075E" w:rsidRPr="00A4510F">
        <w:rPr>
          <w:rFonts w:ascii="Times New Roman" w:hAnsi="Times New Roman"/>
          <w:sz w:val="24"/>
          <w:szCs w:val="24"/>
        </w:rPr>
        <w:t xml:space="preserve"> 1</w:t>
      </w:r>
    </w:p>
    <w:p w:rsidR="00A279B8" w:rsidRPr="00426049" w:rsidRDefault="0048075E" w:rsidP="00A4510F">
      <w:pPr>
        <w:jc w:val="center"/>
        <w:rPr>
          <w:rFonts w:ascii="Times New Roman" w:hAnsi="Times New Roman"/>
          <w:b/>
          <w:sz w:val="24"/>
          <w:szCs w:val="24"/>
        </w:rPr>
      </w:pPr>
      <w:r w:rsidRPr="00426049">
        <w:rPr>
          <w:rFonts w:ascii="Times New Roman" w:hAnsi="Times New Roman"/>
          <w:b/>
          <w:sz w:val="24"/>
          <w:szCs w:val="24"/>
        </w:rPr>
        <w:t xml:space="preserve">Titlul proiectului de hotărâre </w:t>
      </w:r>
    </w:p>
    <w:p w:rsidR="004C6FC5" w:rsidRDefault="0048075E" w:rsidP="004C6FC5">
      <w:pPr>
        <w:spacing w:after="0"/>
        <w:jc w:val="center"/>
        <w:rPr>
          <w:rFonts w:ascii="Times New Roman" w:hAnsi="Times New Roman"/>
          <w:sz w:val="24"/>
          <w:szCs w:val="24"/>
        </w:rPr>
      </w:pPr>
      <w:r w:rsidRPr="00A4510F">
        <w:rPr>
          <w:rFonts w:ascii="Times New Roman" w:hAnsi="Times New Roman"/>
          <w:sz w:val="24"/>
          <w:szCs w:val="24"/>
        </w:rPr>
        <w:t xml:space="preserve">Privind stabilirea salariilor de bază </w:t>
      </w:r>
      <w:r w:rsidR="00FC39AA" w:rsidRPr="00A4510F">
        <w:rPr>
          <w:rFonts w:ascii="Times New Roman" w:hAnsi="Times New Roman"/>
          <w:sz w:val="24"/>
          <w:szCs w:val="24"/>
        </w:rPr>
        <w:t xml:space="preserve">pentru funcționarii publici și personalul contractual </w:t>
      </w:r>
      <w:r w:rsidR="004C6FC5">
        <w:rPr>
          <w:rFonts w:ascii="Times New Roman" w:hAnsi="Times New Roman"/>
          <w:sz w:val="24"/>
          <w:szCs w:val="24"/>
        </w:rPr>
        <w:t xml:space="preserve"> </w:t>
      </w:r>
    </w:p>
    <w:p w:rsidR="00A4510F" w:rsidRDefault="004C6FC5" w:rsidP="004C6FC5">
      <w:pPr>
        <w:spacing w:after="0"/>
        <w:jc w:val="center"/>
      </w:pPr>
      <w:r>
        <w:rPr>
          <w:rFonts w:ascii="Times New Roman" w:hAnsi="Times New Roman"/>
          <w:sz w:val="24"/>
          <w:szCs w:val="24"/>
        </w:rPr>
        <w:t xml:space="preserve">care face parte din familia ocupațională </w:t>
      </w:r>
      <w:r w:rsidRPr="004C6FC5">
        <w:rPr>
          <w:rFonts w:ascii="Times New Roman" w:hAnsi="Times New Roman"/>
          <w:sz w:val="24"/>
          <w:szCs w:val="24"/>
        </w:rPr>
        <w:t>«Administrație»</w:t>
      </w:r>
      <w:r>
        <w:rPr>
          <w:rFonts w:ascii="Times New Roman" w:hAnsi="Times New Roman"/>
          <w:sz w:val="24"/>
          <w:szCs w:val="24"/>
        </w:rPr>
        <w:t xml:space="preserve"> </w:t>
      </w:r>
      <w:r w:rsidR="0048075E" w:rsidRPr="00A4510F">
        <w:rPr>
          <w:rFonts w:ascii="Times New Roman" w:hAnsi="Times New Roman"/>
          <w:sz w:val="24"/>
          <w:szCs w:val="24"/>
        </w:rPr>
        <w:t xml:space="preserve">din cadrul </w:t>
      </w:r>
      <w:r>
        <w:rPr>
          <w:rFonts w:ascii="Times New Roman" w:hAnsi="Times New Roman"/>
          <w:sz w:val="24"/>
          <w:szCs w:val="24"/>
        </w:rPr>
        <w:t xml:space="preserve">Administrației pentru Sănătate și Educație a </w:t>
      </w:r>
      <w:r w:rsidR="00A4510F" w:rsidRPr="00A4510F">
        <w:rPr>
          <w:rFonts w:ascii="Times New Roman" w:hAnsi="Times New Roman"/>
          <w:sz w:val="24"/>
          <w:szCs w:val="24"/>
        </w:rPr>
        <w:t xml:space="preserve">Municipiului </w:t>
      </w:r>
      <w:r w:rsidR="0048075E" w:rsidRPr="00A4510F">
        <w:rPr>
          <w:rFonts w:ascii="Times New Roman" w:hAnsi="Times New Roman"/>
          <w:sz w:val="24"/>
          <w:szCs w:val="24"/>
        </w:rPr>
        <w:t xml:space="preserve"> Timișoara</w:t>
      </w:r>
      <w:r w:rsidRPr="004C6FC5">
        <w:t xml:space="preserve"> </w:t>
      </w:r>
    </w:p>
    <w:p w:rsidR="004C6FC5" w:rsidRPr="00A4510F" w:rsidRDefault="004C6FC5" w:rsidP="004C6FC5">
      <w:pPr>
        <w:spacing w:after="0"/>
        <w:jc w:val="center"/>
        <w:rPr>
          <w:rFonts w:ascii="Times New Roman" w:hAnsi="Times New Roman"/>
          <w:sz w:val="24"/>
          <w:szCs w:val="24"/>
        </w:rPr>
      </w:pPr>
    </w:p>
    <w:p w:rsidR="00CC42C5" w:rsidRDefault="007C7CAF" w:rsidP="00A279B8">
      <w:pPr>
        <w:jc w:val="center"/>
        <w:rPr>
          <w:rFonts w:ascii="Times New Roman" w:hAnsi="Times New Roman"/>
          <w:sz w:val="24"/>
          <w:szCs w:val="24"/>
        </w:rPr>
      </w:pPr>
      <w:r w:rsidRPr="00A4510F">
        <w:rPr>
          <w:rFonts w:ascii="Times New Roman" w:hAnsi="Times New Roman"/>
          <w:sz w:val="24"/>
          <w:szCs w:val="24"/>
        </w:rPr>
        <w:t>Secțiunea</w:t>
      </w:r>
      <w:r w:rsidR="0048075E" w:rsidRPr="00A4510F">
        <w:rPr>
          <w:rFonts w:ascii="Times New Roman" w:hAnsi="Times New Roman"/>
          <w:sz w:val="24"/>
          <w:szCs w:val="24"/>
        </w:rPr>
        <w:t xml:space="preserve"> a 2 - a </w:t>
      </w:r>
    </w:p>
    <w:p w:rsidR="00A4510F" w:rsidRPr="00CC42C5" w:rsidRDefault="0048075E" w:rsidP="00A279B8">
      <w:pPr>
        <w:jc w:val="center"/>
        <w:rPr>
          <w:rFonts w:ascii="Times New Roman" w:hAnsi="Times New Roman"/>
          <w:b/>
          <w:bCs/>
          <w:sz w:val="24"/>
          <w:szCs w:val="24"/>
        </w:rPr>
      </w:pPr>
      <w:r w:rsidRPr="00CC42C5">
        <w:rPr>
          <w:rFonts w:ascii="Times New Roman" w:hAnsi="Times New Roman"/>
          <w:b/>
          <w:bCs/>
          <w:sz w:val="24"/>
          <w:szCs w:val="24"/>
        </w:rPr>
        <w:t>Motivul emiterii proiectului de hotărâre</w:t>
      </w:r>
    </w:p>
    <w:p w:rsidR="00A4510F" w:rsidRDefault="0048075E" w:rsidP="00991442">
      <w:pPr>
        <w:spacing w:line="240" w:lineRule="auto"/>
        <w:jc w:val="both"/>
        <w:rPr>
          <w:rFonts w:ascii="Times New Roman" w:hAnsi="Times New Roman"/>
          <w:sz w:val="24"/>
          <w:szCs w:val="24"/>
        </w:rPr>
      </w:pPr>
      <w:r w:rsidRPr="00007414">
        <w:rPr>
          <w:rFonts w:ascii="Times New Roman" w:hAnsi="Times New Roman"/>
          <w:b/>
          <w:sz w:val="24"/>
          <w:szCs w:val="24"/>
          <w:u w:val="single"/>
        </w:rPr>
        <w:t xml:space="preserve">Descrierea </w:t>
      </w:r>
      <w:r w:rsidR="007C7CAF" w:rsidRPr="00007414">
        <w:rPr>
          <w:rFonts w:ascii="Times New Roman" w:hAnsi="Times New Roman"/>
          <w:b/>
          <w:sz w:val="24"/>
          <w:szCs w:val="24"/>
          <w:u w:val="single"/>
        </w:rPr>
        <w:t>situației</w:t>
      </w:r>
      <w:r w:rsidRPr="00007414">
        <w:rPr>
          <w:rFonts w:ascii="Times New Roman" w:hAnsi="Times New Roman"/>
          <w:b/>
          <w:sz w:val="24"/>
          <w:szCs w:val="24"/>
          <w:u w:val="single"/>
        </w:rPr>
        <w:t xml:space="preserve"> actuale</w:t>
      </w:r>
      <w:r w:rsidR="00A4510F">
        <w:rPr>
          <w:rFonts w:ascii="Times New Roman" w:hAnsi="Times New Roman"/>
          <w:sz w:val="24"/>
          <w:szCs w:val="24"/>
        </w:rPr>
        <w:t>:</w:t>
      </w:r>
    </w:p>
    <w:p w:rsidR="007C7CAF" w:rsidRPr="007C7CAF" w:rsidRDefault="007C7CAF" w:rsidP="00991442">
      <w:pPr>
        <w:spacing w:after="0" w:line="240" w:lineRule="auto"/>
        <w:ind w:firstLine="708"/>
        <w:jc w:val="both"/>
        <w:rPr>
          <w:rFonts w:ascii="Times New Roman" w:hAnsi="Times New Roman"/>
          <w:sz w:val="24"/>
          <w:szCs w:val="24"/>
        </w:rPr>
      </w:pPr>
      <w:r>
        <w:rPr>
          <w:rFonts w:ascii="Times New Roman" w:hAnsi="Times New Roman"/>
          <w:sz w:val="24"/>
          <w:szCs w:val="24"/>
        </w:rPr>
        <w:t>P</w:t>
      </w:r>
      <w:r w:rsidRPr="007C7CAF">
        <w:rPr>
          <w:rFonts w:ascii="Times New Roman" w:hAnsi="Times New Roman"/>
          <w:sz w:val="24"/>
          <w:szCs w:val="24"/>
        </w:rPr>
        <w:t xml:space="preserve">otrivit prevederilor art.11 din Legea nr.153/2017, pentru funcționarii publici și personalul contractual </w:t>
      </w:r>
      <w:r w:rsidR="00333C01" w:rsidRPr="00333C01">
        <w:rPr>
          <w:rFonts w:ascii="Times New Roman" w:hAnsi="Times New Roman"/>
          <w:sz w:val="24"/>
          <w:szCs w:val="24"/>
        </w:rPr>
        <w:t>care face parte din familia ocupațională «Administrație» din cadrul Administrației pentru Sănătate și Educație a Municipiului  Timișoara</w:t>
      </w:r>
      <w:r w:rsidRPr="007C7CAF">
        <w:rPr>
          <w:rFonts w:ascii="Times New Roman" w:hAnsi="Times New Roman"/>
          <w:sz w:val="24"/>
          <w:szCs w:val="24"/>
        </w:rPr>
        <w:t xml:space="preserve">, salariile de bază se stabilesc prin hotărâre a consiliului local, fără a depăși nivelul indemnizației lunare a funcției de viceprimar, exclusiv majorările prevăzute la art. 16 alin. (2) din Legea nr.153/2017. </w:t>
      </w:r>
    </w:p>
    <w:p w:rsidR="007C7CAF" w:rsidRPr="007C7CAF" w:rsidRDefault="007C7CAF" w:rsidP="00991442">
      <w:pPr>
        <w:spacing w:after="0" w:line="240" w:lineRule="auto"/>
        <w:jc w:val="both"/>
        <w:rPr>
          <w:rFonts w:ascii="Times New Roman" w:hAnsi="Times New Roman"/>
          <w:sz w:val="24"/>
          <w:szCs w:val="24"/>
        </w:rPr>
      </w:pPr>
      <w:r w:rsidRPr="007C7CAF">
        <w:rPr>
          <w:rFonts w:ascii="Times New Roman" w:hAnsi="Times New Roman"/>
          <w:sz w:val="24"/>
          <w:szCs w:val="24"/>
        </w:rPr>
        <w:tab/>
        <w:t xml:space="preserve">Prin Decizia nr. 370/2020, Curtea Constituțională a arătat că marja de apreciere a autorităților administrației publice locale nu este nelimitată, ci aceasta se exercită cu încadrarea între limitele minime și maxime prevăzute prin lege pentru drepturile salariale. Limita minimă este salariul minim brut pe țară garantat în plată, iar limita maximă este indemnizația viceprimarului. </w:t>
      </w:r>
    </w:p>
    <w:p w:rsidR="007C7CAF" w:rsidRPr="007C7CAF" w:rsidRDefault="007C7CAF" w:rsidP="00991442">
      <w:pPr>
        <w:spacing w:after="0" w:line="240" w:lineRule="auto"/>
        <w:jc w:val="both"/>
        <w:rPr>
          <w:rFonts w:ascii="Times New Roman" w:hAnsi="Times New Roman"/>
          <w:sz w:val="24"/>
          <w:szCs w:val="24"/>
        </w:rPr>
      </w:pPr>
      <w:r w:rsidRPr="007C7CAF">
        <w:rPr>
          <w:rFonts w:ascii="Times New Roman" w:hAnsi="Times New Roman"/>
          <w:sz w:val="24"/>
          <w:szCs w:val="24"/>
        </w:rPr>
        <w:tab/>
        <w:t>Comisia pentru aplicarea unitară a prevederilor legale aplicabile în activitatea Curții de Conturi apreciază că autoritățile administrației publice locale au</w:t>
      </w:r>
      <w:r w:rsidR="00333C01">
        <w:rPr>
          <w:rFonts w:ascii="Times New Roman" w:hAnsi="Times New Roman"/>
          <w:sz w:val="24"/>
          <w:szCs w:val="24"/>
        </w:rPr>
        <w:t xml:space="preserve"> </w:t>
      </w:r>
      <w:r w:rsidRPr="007C7CAF">
        <w:rPr>
          <w:rFonts w:ascii="Times New Roman" w:hAnsi="Times New Roman"/>
          <w:sz w:val="24"/>
          <w:szCs w:val="24"/>
        </w:rPr>
        <w:t xml:space="preserve">dreptul de decizie referitor la stabilirea salariului de bază al acestor categorii de personal din sistemul bugetar, condiția impusă de legiuitor personalului din administrația publică locală fiind ca nivelul veniturilor salariale reglementate conform art.11 alin.1 și 3 din Legea nr.153/2017, respectiv salariul lunar, să se stabilească fără a depăși nivelul indemnizației lunare a viceprimarilor unității administrativ-teritoriale. </w:t>
      </w:r>
    </w:p>
    <w:p w:rsidR="007C7CAF" w:rsidRPr="007C7CAF" w:rsidRDefault="007C7CAF" w:rsidP="00991442">
      <w:pPr>
        <w:spacing w:after="0" w:line="240" w:lineRule="auto"/>
        <w:jc w:val="both"/>
        <w:rPr>
          <w:rFonts w:ascii="Times New Roman" w:hAnsi="Times New Roman"/>
          <w:sz w:val="24"/>
          <w:szCs w:val="24"/>
        </w:rPr>
      </w:pPr>
      <w:r w:rsidRPr="007C7CAF">
        <w:rPr>
          <w:rFonts w:ascii="Times New Roman" w:hAnsi="Times New Roman"/>
          <w:sz w:val="24"/>
          <w:szCs w:val="24"/>
        </w:rPr>
        <w:tab/>
        <w:t>În ceea ce privește raportarea la indemnizația lunară a funcției de viceprimar a unității administrativ teritoriale, trebuie avute în vedere prevederile art.38 alin.(3) lit.f) din Legea-cadru nr.153/2017, art.I alin.(2) din OUG nr.130/2021, art.I alin.(2) din OUG nr.226/2020 și art.34 alin.(7) din OUG nr.114/2008</w:t>
      </w:r>
      <w:r w:rsidR="00333C01">
        <w:rPr>
          <w:rFonts w:ascii="Times New Roman" w:hAnsi="Times New Roman"/>
          <w:sz w:val="24"/>
          <w:szCs w:val="24"/>
        </w:rPr>
        <w:t xml:space="preserve"> care au plafonat în mod repetat indemnizația viceprimarului</w:t>
      </w:r>
      <w:r>
        <w:rPr>
          <w:rFonts w:ascii="Times New Roman" w:hAnsi="Times New Roman"/>
          <w:sz w:val="24"/>
          <w:szCs w:val="24"/>
        </w:rPr>
        <w:t xml:space="preserve">. </w:t>
      </w:r>
      <w:r w:rsidRPr="007C7CAF">
        <w:rPr>
          <w:rFonts w:ascii="Times New Roman" w:hAnsi="Times New Roman"/>
          <w:sz w:val="24"/>
          <w:szCs w:val="24"/>
        </w:rPr>
        <w:t xml:space="preserve">Prin plafonarea anuală repetată a indemnizației viceprimarului, rezultă că la determinarea acesteia, este folosit salariul minim brut pe țară garantat în plată stabilit pentru anul 2019. </w:t>
      </w:r>
    </w:p>
    <w:p w:rsidR="007C7CAF" w:rsidRPr="007C7CAF" w:rsidRDefault="007C7CAF" w:rsidP="00991442">
      <w:pPr>
        <w:spacing w:after="0" w:line="240" w:lineRule="auto"/>
        <w:jc w:val="both"/>
        <w:rPr>
          <w:rFonts w:ascii="Times New Roman" w:hAnsi="Times New Roman"/>
          <w:sz w:val="24"/>
          <w:szCs w:val="24"/>
        </w:rPr>
      </w:pPr>
      <w:r w:rsidRPr="007C7CAF">
        <w:rPr>
          <w:rFonts w:ascii="Times New Roman" w:hAnsi="Times New Roman"/>
          <w:sz w:val="24"/>
          <w:szCs w:val="24"/>
        </w:rPr>
        <w:tab/>
        <w:t xml:space="preserve">Prin prezentul proiect, pentru funcționarii publici și personalul contractual din cadrul familiei ocupaționale «Administrație» din cadrul </w:t>
      </w:r>
      <w:r>
        <w:rPr>
          <w:rFonts w:ascii="Times New Roman" w:hAnsi="Times New Roman"/>
          <w:sz w:val="24"/>
          <w:szCs w:val="24"/>
        </w:rPr>
        <w:t>Administrației pentru Sănătate și Educație a</w:t>
      </w:r>
      <w:r w:rsidRPr="007C7CAF">
        <w:rPr>
          <w:rFonts w:ascii="Times New Roman" w:hAnsi="Times New Roman"/>
          <w:sz w:val="24"/>
          <w:szCs w:val="24"/>
        </w:rPr>
        <w:t xml:space="preserve"> Municipiului Timișoara, salariile de bază se vor stabili prin înmulțirea coeficienților de ierarhizare a posturilor cu salariul de bază minim brut pe țară garantat în plată, utilizat la determinarea indemnizației viceprimarului, conform anexei parte integrantă din prezentul referat. </w:t>
      </w:r>
    </w:p>
    <w:p w:rsidR="00A4510F" w:rsidRPr="00A4510F" w:rsidRDefault="004C6FC5" w:rsidP="00991442">
      <w:pPr>
        <w:spacing w:after="0" w:line="240" w:lineRule="auto"/>
        <w:jc w:val="both"/>
        <w:rPr>
          <w:rFonts w:ascii="Times New Roman" w:hAnsi="Times New Roman"/>
          <w:sz w:val="24"/>
          <w:szCs w:val="24"/>
        </w:rPr>
      </w:pPr>
      <w:r>
        <w:rPr>
          <w:rFonts w:ascii="Times New Roman" w:hAnsi="Times New Roman"/>
          <w:sz w:val="24"/>
          <w:szCs w:val="24"/>
        </w:rPr>
        <w:lastRenderedPageBreak/>
        <w:t>Prin HCL nr.89/2022 pr</w:t>
      </w:r>
      <w:r w:rsidR="00A9512C">
        <w:rPr>
          <w:rFonts w:ascii="Times New Roman" w:hAnsi="Times New Roman"/>
          <w:sz w:val="24"/>
          <w:szCs w:val="24"/>
        </w:rPr>
        <w:t xml:space="preserve">ivind înființarea </w:t>
      </w:r>
      <w:r w:rsidR="00A9512C" w:rsidRPr="00A9512C">
        <w:rPr>
          <w:rFonts w:ascii="Times New Roman" w:hAnsi="Times New Roman"/>
          <w:sz w:val="24"/>
          <w:szCs w:val="24"/>
        </w:rPr>
        <w:t>Administrației pentru Sănătate și Educație a Municipiului  Timișoara</w:t>
      </w:r>
      <w:r w:rsidR="00A9512C">
        <w:rPr>
          <w:rFonts w:ascii="Times New Roman" w:hAnsi="Times New Roman"/>
          <w:sz w:val="24"/>
          <w:szCs w:val="24"/>
        </w:rPr>
        <w:t xml:space="preserve"> s-au aprobat coeficienții de ierarhizare a posturilor, tocmai în vederea</w:t>
      </w:r>
      <w:r w:rsidR="0048075E" w:rsidRPr="00A4510F">
        <w:rPr>
          <w:rFonts w:ascii="Times New Roman" w:hAnsi="Times New Roman"/>
          <w:sz w:val="24"/>
          <w:szCs w:val="24"/>
        </w:rPr>
        <w:t xml:space="preserve"> reașez</w:t>
      </w:r>
      <w:r w:rsidR="00A9512C">
        <w:rPr>
          <w:rFonts w:ascii="Times New Roman" w:hAnsi="Times New Roman"/>
          <w:sz w:val="24"/>
          <w:szCs w:val="24"/>
        </w:rPr>
        <w:t>ării</w:t>
      </w:r>
      <w:r w:rsidR="0048075E" w:rsidRPr="00A4510F">
        <w:rPr>
          <w:rFonts w:ascii="Times New Roman" w:hAnsi="Times New Roman"/>
          <w:sz w:val="24"/>
          <w:szCs w:val="24"/>
        </w:rPr>
        <w:t xml:space="preserve"> sistemului de salarizare</w:t>
      </w:r>
      <w:r w:rsidR="00A9512C">
        <w:rPr>
          <w:rFonts w:ascii="Times New Roman" w:hAnsi="Times New Roman"/>
          <w:sz w:val="24"/>
          <w:szCs w:val="24"/>
        </w:rPr>
        <w:t>, după cum urmează</w:t>
      </w:r>
      <w:r w:rsidR="0048075E" w:rsidRPr="00A4510F">
        <w:rPr>
          <w:rFonts w:ascii="Times New Roman" w:hAnsi="Times New Roman"/>
          <w:sz w:val="24"/>
          <w:szCs w:val="24"/>
        </w:rPr>
        <w:t xml:space="preserve">: </w:t>
      </w:r>
    </w:p>
    <w:p w:rsidR="00A9512C" w:rsidRDefault="0048075E" w:rsidP="00991442">
      <w:pPr>
        <w:spacing w:after="0" w:line="240" w:lineRule="auto"/>
        <w:jc w:val="both"/>
        <w:rPr>
          <w:rFonts w:ascii="Times New Roman" w:hAnsi="Times New Roman"/>
          <w:sz w:val="24"/>
          <w:szCs w:val="24"/>
        </w:rPr>
      </w:pPr>
      <w:r w:rsidRPr="00A4510F">
        <w:rPr>
          <w:rFonts w:ascii="Times New Roman" w:hAnsi="Times New Roman"/>
          <w:sz w:val="24"/>
          <w:szCs w:val="24"/>
        </w:rPr>
        <w:t xml:space="preserve">• Pentru funcțiile de conducere </w:t>
      </w:r>
    </w:p>
    <w:p w:rsidR="00A9512C" w:rsidRDefault="0048075E" w:rsidP="00991442">
      <w:pPr>
        <w:pStyle w:val="ListParagraph"/>
        <w:numPr>
          <w:ilvl w:val="0"/>
          <w:numId w:val="2"/>
        </w:numPr>
        <w:spacing w:after="0" w:line="240" w:lineRule="auto"/>
        <w:jc w:val="both"/>
        <w:rPr>
          <w:rFonts w:ascii="Times New Roman" w:hAnsi="Times New Roman"/>
          <w:sz w:val="24"/>
          <w:szCs w:val="24"/>
        </w:rPr>
      </w:pPr>
      <w:r w:rsidRPr="00A9512C">
        <w:rPr>
          <w:rFonts w:ascii="Times New Roman" w:hAnsi="Times New Roman"/>
          <w:sz w:val="24"/>
          <w:szCs w:val="24"/>
        </w:rPr>
        <w:t xml:space="preserve">sunt stabilite 2 grade cu nivele de coeficienți de ierarhizare corespunzătoare; </w:t>
      </w:r>
    </w:p>
    <w:p w:rsidR="00A9512C" w:rsidRDefault="00A9512C" w:rsidP="009914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p</w:t>
      </w:r>
      <w:r w:rsidR="0048075E" w:rsidRPr="00A9512C">
        <w:rPr>
          <w:rFonts w:ascii="Times New Roman" w:hAnsi="Times New Roman"/>
          <w:sz w:val="24"/>
          <w:szCs w:val="24"/>
        </w:rPr>
        <w:t xml:space="preserve">otrivit articolului 19 din Legea nr.153/2017, salariul de bază pentru funcțiile de conducere se stabilește de către conducătorul instituției publice, în raport cu responsabilitatea, complexitatea și impactul deciziilor impuse de atribuțiile corespunzătoare activității desfășurate; </w:t>
      </w:r>
    </w:p>
    <w:p w:rsidR="00A4510F" w:rsidRPr="00A9512C" w:rsidRDefault="00A9512C" w:rsidP="0099144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î</w:t>
      </w:r>
      <w:r w:rsidR="0048075E" w:rsidRPr="00A9512C">
        <w:rPr>
          <w:rFonts w:ascii="Times New Roman" w:hAnsi="Times New Roman"/>
          <w:sz w:val="24"/>
          <w:szCs w:val="24"/>
        </w:rPr>
        <w:t xml:space="preserve">n salariul de bază pentru funcțiile de conducere atât la gradul I, cât și la gradul II, este inclusă gradația aferentă tranșei de vechime în muncă, la nivel maxim; </w:t>
      </w:r>
    </w:p>
    <w:p w:rsidR="00A4510F" w:rsidRPr="00A4510F" w:rsidRDefault="0048075E" w:rsidP="00991442">
      <w:pPr>
        <w:spacing w:after="0" w:line="240" w:lineRule="auto"/>
        <w:jc w:val="both"/>
        <w:rPr>
          <w:rFonts w:ascii="Times New Roman" w:hAnsi="Times New Roman"/>
          <w:sz w:val="24"/>
          <w:szCs w:val="24"/>
        </w:rPr>
      </w:pPr>
      <w:r w:rsidRPr="00A4510F">
        <w:rPr>
          <w:rFonts w:ascii="Times New Roman" w:hAnsi="Times New Roman"/>
          <w:sz w:val="24"/>
          <w:szCs w:val="24"/>
        </w:rPr>
        <w:t xml:space="preserve">• Pentru funcțiile de execuție, coeficienții diferă în funcție de categorie, clasă, grad profesional, grad/treaptă și vechimea în muncă; </w:t>
      </w:r>
    </w:p>
    <w:p w:rsidR="00A4510F" w:rsidRPr="007C7CAF" w:rsidRDefault="0048075E" w:rsidP="00991442">
      <w:pPr>
        <w:pStyle w:val="ListParagraph"/>
        <w:numPr>
          <w:ilvl w:val="0"/>
          <w:numId w:val="2"/>
        </w:numPr>
        <w:spacing w:after="0" w:line="240" w:lineRule="auto"/>
        <w:jc w:val="both"/>
        <w:rPr>
          <w:rFonts w:ascii="Times New Roman" w:hAnsi="Times New Roman"/>
          <w:sz w:val="24"/>
          <w:szCs w:val="24"/>
        </w:rPr>
      </w:pPr>
      <w:r w:rsidRPr="007C7CAF">
        <w:rPr>
          <w:rFonts w:ascii="Times New Roman" w:hAnsi="Times New Roman"/>
          <w:sz w:val="24"/>
          <w:szCs w:val="24"/>
        </w:rPr>
        <w:t xml:space="preserve">Tranșele de vechime în muncă în funcție de care se acordă cele 5 gradații, precum şi cotele procentuale corespunzătoare acestora sunt stabilite tot de Legea 153/2017, astfel: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1549"/>
        <w:gridCol w:w="3260"/>
      </w:tblGrid>
      <w:tr w:rsidR="00A4510F" w:rsidTr="005F0063">
        <w:tc>
          <w:tcPr>
            <w:tcW w:w="2137" w:type="dxa"/>
          </w:tcPr>
          <w:p w:rsidR="00A4510F" w:rsidRPr="005F0063" w:rsidRDefault="00A4510F" w:rsidP="00991442">
            <w:pPr>
              <w:spacing w:after="0" w:line="240" w:lineRule="auto"/>
              <w:jc w:val="both"/>
              <w:rPr>
                <w:rFonts w:ascii="Times New Roman" w:hAnsi="Times New Roman"/>
                <w:sz w:val="24"/>
                <w:szCs w:val="24"/>
              </w:rPr>
            </w:pPr>
            <w:r w:rsidRPr="005F0063">
              <w:rPr>
                <w:rFonts w:ascii="Times New Roman" w:hAnsi="Times New Roman"/>
                <w:sz w:val="24"/>
                <w:szCs w:val="24"/>
              </w:rPr>
              <w:t>Tranșă vechime</w:t>
            </w:r>
          </w:p>
        </w:tc>
        <w:tc>
          <w:tcPr>
            <w:tcW w:w="1549" w:type="dxa"/>
          </w:tcPr>
          <w:p w:rsidR="00A4510F" w:rsidRPr="005F0063" w:rsidRDefault="00A4510F"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Gradație</w:t>
            </w:r>
          </w:p>
        </w:tc>
        <w:tc>
          <w:tcPr>
            <w:tcW w:w="3260" w:type="dxa"/>
          </w:tcPr>
          <w:p w:rsidR="00A4510F" w:rsidRPr="005F0063" w:rsidRDefault="00A4510F" w:rsidP="00991442">
            <w:pPr>
              <w:spacing w:after="0" w:line="240" w:lineRule="auto"/>
              <w:jc w:val="both"/>
              <w:rPr>
                <w:rFonts w:ascii="Times New Roman" w:hAnsi="Times New Roman"/>
                <w:sz w:val="24"/>
                <w:szCs w:val="24"/>
              </w:rPr>
            </w:pPr>
            <w:r w:rsidRPr="005F0063">
              <w:rPr>
                <w:rFonts w:ascii="Times New Roman" w:hAnsi="Times New Roman"/>
                <w:sz w:val="24"/>
                <w:szCs w:val="24"/>
              </w:rPr>
              <w:t>Cotă procentuală</w:t>
            </w:r>
          </w:p>
        </w:tc>
      </w:tr>
      <w:tr w:rsidR="00A4510F" w:rsidTr="005F0063">
        <w:tc>
          <w:tcPr>
            <w:tcW w:w="2137"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De la 0 la 3 ani</w:t>
            </w:r>
          </w:p>
        </w:tc>
        <w:tc>
          <w:tcPr>
            <w:tcW w:w="1549"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Gradația 0</w:t>
            </w:r>
          </w:p>
        </w:tc>
        <w:tc>
          <w:tcPr>
            <w:tcW w:w="3260"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w:t>
            </w:r>
          </w:p>
        </w:tc>
      </w:tr>
      <w:tr w:rsidR="00A4510F" w:rsidTr="005F0063">
        <w:tc>
          <w:tcPr>
            <w:tcW w:w="2137"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De la 3 la 5 ani</w:t>
            </w:r>
          </w:p>
        </w:tc>
        <w:tc>
          <w:tcPr>
            <w:tcW w:w="1549"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Gradația 1</w:t>
            </w:r>
          </w:p>
        </w:tc>
        <w:tc>
          <w:tcPr>
            <w:tcW w:w="3260"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7,5% x coeficient Gradația 0</w:t>
            </w:r>
          </w:p>
        </w:tc>
      </w:tr>
      <w:tr w:rsidR="00A4510F" w:rsidTr="005F0063">
        <w:tc>
          <w:tcPr>
            <w:tcW w:w="2137"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De la 5 la 10 ani</w:t>
            </w:r>
          </w:p>
        </w:tc>
        <w:tc>
          <w:tcPr>
            <w:tcW w:w="1549"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Gradația 2</w:t>
            </w:r>
          </w:p>
        </w:tc>
        <w:tc>
          <w:tcPr>
            <w:tcW w:w="3260"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5% x coeficient Gradația 1</w:t>
            </w:r>
          </w:p>
        </w:tc>
      </w:tr>
      <w:tr w:rsidR="00A4510F" w:rsidTr="005F0063">
        <w:tc>
          <w:tcPr>
            <w:tcW w:w="2137"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De la 10 la 15 ani</w:t>
            </w:r>
          </w:p>
        </w:tc>
        <w:tc>
          <w:tcPr>
            <w:tcW w:w="1549"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Gradația 3</w:t>
            </w:r>
          </w:p>
        </w:tc>
        <w:tc>
          <w:tcPr>
            <w:tcW w:w="3260"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5% x coeficient Gradația 2</w:t>
            </w:r>
          </w:p>
        </w:tc>
      </w:tr>
      <w:tr w:rsidR="00A4510F" w:rsidTr="005F0063">
        <w:tc>
          <w:tcPr>
            <w:tcW w:w="2137"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De la 15 la 20 ani</w:t>
            </w:r>
          </w:p>
        </w:tc>
        <w:tc>
          <w:tcPr>
            <w:tcW w:w="1549"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Gradația 4</w:t>
            </w:r>
          </w:p>
        </w:tc>
        <w:tc>
          <w:tcPr>
            <w:tcW w:w="3260"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2,5% x coeficient Gradația 3</w:t>
            </w:r>
          </w:p>
        </w:tc>
      </w:tr>
      <w:tr w:rsidR="00A4510F" w:rsidTr="005F0063">
        <w:tc>
          <w:tcPr>
            <w:tcW w:w="2137"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Peste 20 ani</w:t>
            </w:r>
          </w:p>
        </w:tc>
        <w:tc>
          <w:tcPr>
            <w:tcW w:w="1549"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Gradația 5</w:t>
            </w:r>
          </w:p>
        </w:tc>
        <w:tc>
          <w:tcPr>
            <w:tcW w:w="3260" w:type="dxa"/>
          </w:tcPr>
          <w:p w:rsidR="00A4510F" w:rsidRPr="005F0063" w:rsidRDefault="008D49B1" w:rsidP="00991442">
            <w:pPr>
              <w:spacing w:after="0" w:line="240" w:lineRule="auto"/>
              <w:jc w:val="both"/>
              <w:rPr>
                <w:rFonts w:ascii="Times New Roman" w:hAnsi="Times New Roman"/>
                <w:sz w:val="24"/>
                <w:szCs w:val="24"/>
              </w:rPr>
            </w:pPr>
            <w:r w:rsidRPr="005F0063">
              <w:rPr>
                <w:rFonts w:ascii="Times New Roman" w:hAnsi="Times New Roman"/>
                <w:sz w:val="24"/>
                <w:szCs w:val="24"/>
              </w:rPr>
              <w:t>2,5% x coeficient Gradația 4</w:t>
            </w:r>
          </w:p>
        </w:tc>
      </w:tr>
    </w:tbl>
    <w:p w:rsidR="000D722B" w:rsidRDefault="000D722B" w:rsidP="00991442">
      <w:pPr>
        <w:spacing w:after="0" w:line="240" w:lineRule="auto"/>
        <w:ind w:firstLine="708"/>
        <w:jc w:val="both"/>
        <w:rPr>
          <w:rFonts w:ascii="Times New Roman" w:hAnsi="Times New Roman"/>
          <w:b/>
          <w:sz w:val="24"/>
          <w:szCs w:val="24"/>
          <w:u w:val="single"/>
        </w:rPr>
      </w:pPr>
    </w:p>
    <w:p w:rsidR="008D49B1" w:rsidRPr="00007414" w:rsidRDefault="0048075E" w:rsidP="00991442">
      <w:pPr>
        <w:spacing w:after="0" w:line="240" w:lineRule="auto"/>
        <w:ind w:firstLine="708"/>
        <w:jc w:val="both"/>
        <w:rPr>
          <w:rFonts w:ascii="Times New Roman" w:hAnsi="Times New Roman"/>
          <w:b/>
          <w:sz w:val="24"/>
          <w:szCs w:val="24"/>
          <w:u w:val="single"/>
        </w:rPr>
      </w:pPr>
      <w:r w:rsidRPr="00007414">
        <w:rPr>
          <w:rFonts w:ascii="Times New Roman" w:hAnsi="Times New Roman"/>
          <w:b/>
          <w:sz w:val="24"/>
          <w:szCs w:val="24"/>
          <w:u w:val="single"/>
        </w:rPr>
        <w:t xml:space="preserve">Schimbări preconizate şi rezultate aşteptate </w:t>
      </w:r>
    </w:p>
    <w:p w:rsidR="00007414" w:rsidRDefault="00D15AF2" w:rsidP="00991442">
      <w:pPr>
        <w:spacing w:after="0" w:line="240" w:lineRule="auto"/>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Schimbările preconizate sunt respectarea prevederilor legale privind stabilirea salariilor de bază prin raportare la coeficienții de ierarhizare a posturilor pentru </w:t>
      </w:r>
      <w:r w:rsidR="001B1985">
        <w:rPr>
          <w:rFonts w:ascii="Times New Roman" w:hAnsi="Times New Roman"/>
          <w:sz w:val="24"/>
          <w:szCs w:val="24"/>
        </w:rPr>
        <w:t>f</w:t>
      </w:r>
      <w:r w:rsidR="001B1985" w:rsidRPr="00A4510F">
        <w:rPr>
          <w:rFonts w:ascii="Times New Roman" w:hAnsi="Times New Roman"/>
          <w:sz w:val="24"/>
          <w:szCs w:val="24"/>
        </w:rPr>
        <w:t>uncționarii publici și personalul contractual din cadrul familiei ocupaționale «Administrație»</w:t>
      </w:r>
      <w:r w:rsidR="0048075E" w:rsidRPr="00A4510F">
        <w:rPr>
          <w:rFonts w:ascii="Times New Roman" w:hAnsi="Times New Roman"/>
          <w:sz w:val="24"/>
          <w:szCs w:val="24"/>
        </w:rPr>
        <w:t xml:space="preserve"> din cadrul </w:t>
      </w:r>
      <w:r w:rsidR="007C7CAF">
        <w:rPr>
          <w:rFonts w:ascii="Times New Roman" w:hAnsi="Times New Roman"/>
          <w:sz w:val="24"/>
          <w:szCs w:val="24"/>
        </w:rPr>
        <w:t xml:space="preserve">Administrației pentru Sănătate și Educație a </w:t>
      </w:r>
      <w:r w:rsidR="0048075E" w:rsidRPr="00A4510F">
        <w:rPr>
          <w:rFonts w:ascii="Times New Roman" w:hAnsi="Times New Roman"/>
          <w:sz w:val="24"/>
          <w:szCs w:val="24"/>
        </w:rPr>
        <w:t>Municipiului Timișoara</w:t>
      </w:r>
      <w:r w:rsidR="00333C01">
        <w:rPr>
          <w:rFonts w:ascii="Times New Roman" w:hAnsi="Times New Roman"/>
          <w:sz w:val="24"/>
          <w:szCs w:val="24"/>
        </w:rPr>
        <w:t>.</w:t>
      </w:r>
    </w:p>
    <w:p w:rsidR="00A4510F" w:rsidRPr="00007414" w:rsidRDefault="006D43D8" w:rsidP="00991442">
      <w:pPr>
        <w:spacing w:after="0" w:line="240" w:lineRule="auto"/>
        <w:jc w:val="both"/>
        <w:rPr>
          <w:rFonts w:ascii="Times New Roman" w:hAnsi="Times New Roman"/>
          <w:b/>
          <w:sz w:val="24"/>
          <w:szCs w:val="24"/>
          <w:u w:val="single"/>
        </w:rPr>
      </w:pPr>
      <w:r>
        <w:rPr>
          <w:rFonts w:ascii="Times New Roman" w:hAnsi="Times New Roman"/>
          <w:sz w:val="24"/>
          <w:szCs w:val="24"/>
        </w:rPr>
        <w:tab/>
      </w:r>
      <w:r w:rsidR="0048075E" w:rsidRPr="00A4510F">
        <w:rPr>
          <w:rFonts w:ascii="Times New Roman" w:hAnsi="Times New Roman"/>
          <w:sz w:val="24"/>
          <w:szCs w:val="24"/>
        </w:rPr>
        <w:t xml:space="preserve"> </w:t>
      </w:r>
      <w:r w:rsidR="0048075E" w:rsidRPr="00007414">
        <w:rPr>
          <w:rFonts w:ascii="Times New Roman" w:hAnsi="Times New Roman"/>
          <w:b/>
          <w:sz w:val="24"/>
          <w:szCs w:val="24"/>
          <w:u w:val="single"/>
        </w:rPr>
        <w:t xml:space="preserve">Alte </w:t>
      </w:r>
      <w:r w:rsidR="000D722B" w:rsidRPr="00007414">
        <w:rPr>
          <w:rFonts w:ascii="Times New Roman" w:hAnsi="Times New Roman"/>
          <w:b/>
          <w:sz w:val="24"/>
          <w:szCs w:val="24"/>
          <w:u w:val="single"/>
        </w:rPr>
        <w:t>informații</w:t>
      </w:r>
      <w:r w:rsidR="0048075E" w:rsidRPr="00007414">
        <w:rPr>
          <w:rFonts w:ascii="Times New Roman" w:hAnsi="Times New Roman"/>
          <w:b/>
          <w:sz w:val="24"/>
          <w:szCs w:val="24"/>
          <w:u w:val="single"/>
        </w:rPr>
        <w:t xml:space="preserve"> </w:t>
      </w:r>
    </w:p>
    <w:p w:rsidR="00A4510F" w:rsidRDefault="0048075E" w:rsidP="00991442">
      <w:pPr>
        <w:spacing w:after="0" w:line="240" w:lineRule="auto"/>
        <w:jc w:val="both"/>
        <w:rPr>
          <w:rFonts w:ascii="Times New Roman" w:hAnsi="Times New Roman"/>
          <w:sz w:val="24"/>
          <w:szCs w:val="24"/>
        </w:rPr>
      </w:pPr>
      <w:r w:rsidRPr="00A4510F">
        <w:rPr>
          <w:rFonts w:ascii="Times New Roman" w:hAnsi="Times New Roman"/>
          <w:sz w:val="24"/>
          <w:szCs w:val="24"/>
        </w:rPr>
        <w:t xml:space="preserve">Gestionarea sistemului de salarizare a personalului din instituțiile și autoritățile publice se asigură de </w:t>
      </w:r>
      <w:r w:rsidR="000D722B">
        <w:rPr>
          <w:rFonts w:ascii="Times New Roman" w:hAnsi="Times New Roman"/>
          <w:sz w:val="24"/>
          <w:szCs w:val="24"/>
        </w:rPr>
        <w:t xml:space="preserve">către </w:t>
      </w:r>
      <w:r w:rsidRPr="00A4510F">
        <w:rPr>
          <w:rFonts w:ascii="Times New Roman" w:hAnsi="Times New Roman"/>
          <w:sz w:val="24"/>
          <w:szCs w:val="24"/>
        </w:rPr>
        <w:t>fiecare ordonator de credite</w:t>
      </w:r>
      <w:r w:rsidR="00333C01">
        <w:rPr>
          <w:rFonts w:ascii="Times New Roman" w:hAnsi="Times New Roman"/>
          <w:sz w:val="24"/>
          <w:szCs w:val="24"/>
        </w:rPr>
        <w:t xml:space="preserve">, iar directorul general al </w:t>
      </w:r>
      <w:r w:rsidR="00333C01" w:rsidRPr="00333C01">
        <w:rPr>
          <w:rFonts w:ascii="Times New Roman" w:hAnsi="Times New Roman"/>
          <w:sz w:val="24"/>
          <w:szCs w:val="24"/>
        </w:rPr>
        <w:t>Administrației pentru Sănătate și Educație a Municipiului Timișoara</w:t>
      </w:r>
      <w:r w:rsidR="00333C01">
        <w:rPr>
          <w:rFonts w:ascii="Times New Roman" w:hAnsi="Times New Roman"/>
          <w:sz w:val="24"/>
          <w:szCs w:val="24"/>
        </w:rPr>
        <w:t xml:space="preserve"> are calitatea de ordonator de credite prin raportare la prevederile Regulamentului de organizare şi funcționare aprobat prin HCL nr.89/2022.</w:t>
      </w:r>
    </w:p>
    <w:p w:rsidR="00A4510F" w:rsidRPr="00007414" w:rsidRDefault="00D15AF2" w:rsidP="00991442">
      <w:pPr>
        <w:spacing w:after="0" w:line="240" w:lineRule="auto"/>
        <w:jc w:val="both"/>
        <w:rPr>
          <w:rFonts w:ascii="Times New Roman" w:hAnsi="Times New Roman"/>
          <w:b/>
          <w:sz w:val="24"/>
          <w:szCs w:val="24"/>
          <w:u w:val="single"/>
        </w:rPr>
      </w:pPr>
      <w:r w:rsidRPr="00D15AF2">
        <w:rPr>
          <w:rFonts w:ascii="Times New Roman" w:hAnsi="Times New Roman"/>
          <w:b/>
          <w:sz w:val="24"/>
          <w:szCs w:val="24"/>
        </w:rPr>
        <w:tab/>
      </w:r>
      <w:r w:rsidR="0048075E" w:rsidRPr="00007414">
        <w:rPr>
          <w:rFonts w:ascii="Times New Roman" w:hAnsi="Times New Roman"/>
          <w:b/>
          <w:sz w:val="24"/>
          <w:szCs w:val="24"/>
          <w:u w:val="single"/>
        </w:rPr>
        <w:t xml:space="preserve">Concluzii </w:t>
      </w:r>
    </w:p>
    <w:p w:rsidR="00BD2CFC" w:rsidRDefault="00BD2CFC" w:rsidP="00991442">
      <w:pPr>
        <w:spacing w:after="0" w:line="240" w:lineRule="auto"/>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Propunem </w:t>
      </w:r>
      <w:r w:rsidR="00FC39AA" w:rsidRPr="00A4510F">
        <w:rPr>
          <w:rFonts w:ascii="Times New Roman" w:hAnsi="Times New Roman"/>
          <w:sz w:val="24"/>
          <w:szCs w:val="24"/>
        </w:rPr>
        <w:t>stabilirea salariilor de bază pentru funcționarii publici și personalul contractual din cadrul familiei ocupaționale «Administrație»</w:t>
      </w:r>
      <w:r w:rsidR="00FC39AA">
        <w:rPr>
          <w:rFonts w:ascii="Times New Roman" w:hAnsi="Times New Roman"/>
          <w:sz w:val="24"/>
          <w:szCs w:val="24"/>
        </w:rPr>
        <w:t xml:space="preserve"> </w:t>
      </w:r>
      <w:r w:rsidR="00FC39AA" w:rsidRPr="00A4510F">
        <w:rPr>
          <w:rFonts w:ascii="Times New Roman" w:hAnsi="Times New Roman"/>
          <w:sz w:val="24"/>
          <w:szCs w:val="24"/>
        </w:rPr>
        <w:t xml:space="preserve">din cadrul </w:t>
      </w:r>
      <w:r w:rsidR="000D722B">
        <w:rPr>
          <w:rFonts w:ascii="Times New Roman" w:hAnsi="Times New Roman"/>
          <w:sz w:val="24"/>
          <w:szCs w:val="24"/>
        </w:rPr>
        <w:t>Administrației pentru Sănătate și Educație</w:t>
      </w:r>
      <w:r w:rsidR="00FC39AA" w:rsidRPr="00A4510F">
        <w:rPr>
          <w:rFonts w:ascii="Times New Roman" w:hAnsi="Times New Roman"/>
          <w:sz w:val="24"/>
          <w:szCs w:val="24"/>
        </w:rPr>
        <w:t xml:space="preserve"> a Municipiului  Timișoara </w:t>
      </w:r>
      <w:r w:rsidR="0048075E" w:rsidRPr="00A4510F">
        <w:rPr>
          <w:rFonts w:ascii="Times New Roman" w:hAnsi="Times New Roman"/>
          <w:sz w:val="24"/>
          <w:szCs w:val="24"/>
        </w:rPr>
        <w:t>prin înmulțirea coeficienților de ierarhizare a posturilor cu salariul de bază minim brut pe țară garantat în plată utilizat la determinarea indemnizației viceprimarului,</w:t>
      </w:r>
      <w:r w:rsidR="004B66DA">
        <w:rPr>
          <w:rFonts w:ascii="Times New Roman" w:hAnsi="Times New Roman"/>
          <w:sz w:val="24"/>
          <w:szCs w:val="24"/>
        </w:rPr>
        <w:t xml:space="preserve"> </w:t>
      </w:r>
      <w:r w:rsidR="0048075E" w:rsidRPr="00A4510F">
        <w:rPr>
          <w:rFonts w:ascii="Times New Roman" w:hAnsi="Times New Roman"/>
          <w:sz w:val="24"/>
          <w:szCs w:val="24"/>
        </w:rPr>
        <w:t xml:space="preserve">conform anexei parte integrantă din prezentul referat. </w:t>
      </w:r>
    </w:p>
    <w:p w:rsidR="000468F9" w:rsidRDefault="00BD2CFC" w:rsidP="00991442">
      <w:pPr>
        <w:spacing w:line="240" w:lineRule="auto"/>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Ținând cont de cele enumerate mai sus, apreciez ca fiind oportună promovarea prezentului proiect de hotărâre și supun dezbaterii Consiliului Local, documentația aferentă. </w:t>
      </w:r>
    </w:p>
    <w:p w:rsidR="00991442" w:rsidRDefault="00991442" w:rsidP="00991442">
      <w:pPr>
        <w:spacing w:line="240" w:lineRule="auto"/>
        <w:jc w:val="both"/>
        <w:rPr>
          <w:rFonts w:ascii="Times New Roman" w:hAnsi="Times New Roman"/>
          <w:sz w:val="24"/>
          <w:szCs w:val="24"/>
        </w:rPr>
      </w:pPr>
    </w:p>
    <w:p w:rsidR="00991442" w:rsidRDefault="00991442" w:rsidP="00991442">
      <w:pPr>
        <w:spacing w:line="240" w:lineRule="auto"/>
        <w:jc w:val="both"/>
        <w:rPr>
          <w:rFonts w:ascii="Times New Roman" w:hAnsi="Times New Roman"/>
          <w:sz w:val="24"/>
          <w:szCs w:val="24"/>
        </w:rPr>
      </w:pPr>
    </w:p>
    <w:p w:rsidR="000468F9" w:rsidRDefault="00BD2CFC" w:rsidP="000D722B">
      <w:pPr>
        <w:spacing w:after="0"/>
        <w:jc w:val="both"/>
        <w:rPr>
          <w:rFonts w:ascii="Times New Roman" w:hAnsi="Times New Roman"/>
          <w:sz w:val="24"/>
          <w:szCs w:val="24"/>
        </w:rPr>
      </w:pPr>
      <w:r>
        <w:rPr>
          <w:rFonts w:ascii="Times New Roman" w:hAnsi="Times New Roman"/>
          <w:sz w:val="24"/>
          <w:szCs w:val="24"/>
        </w:rPr>
        <w:t xml:space="preserve">      </w:t>
      </w:r>
      <w:r w:rsidR="0048075E" w:rsidRPr="00A4510F">
        <w:rPr>
          <w:rFonts w:ascii="Times New Roman" w:hAnsi="Times New Roman"/>
          <w:sz w:val="24"/>
          <w:szCs w:val="24"/>
        </w:rPr>
        <w:t xml:space="preserve">PRIMAR, </w:t>
      </w:r>
    </w:p>
    <w:p w:rsidR="000D6E8E" w:rsidRDefault="0048075E" w:rsidP="000D722B">
      <w:pPr>
        <w:spacing w:after="0"/>
        <w:jc w:val="both"/>
        <w:rPr>
          <w:rFonts w:ascii="Times New Roman" w:hAnsi="Times New Roman"/>
          <w:sz w:val="24"/>
          <w:szCs w:val="24"/>
        </w:rPr>
      </w:pPr>
      <w:r w:rsidRPr="00A4510F">
        <w:rPr>
          <w:rFonts w:ascii="Times New Roman" w:hAnsi="Times New Roman"/>
          <w:sz w:val="24"/>
          <w:szCs w:val="24"/>
        </w:rPr>
        <w:t xml:space="preserve">DOMINIC FRITZ </w:t>
      </w:r>
      <w:r w:rsidR="000468F9">
        <w:rPr>
          <w:rFonts w:ascii="Times New Roman" w:hAnsi="Times New Roman"/>
          <w:sz w:val="24"/>
          <w:szCs w:val="24"/>
        </w:rPr>
        <w:t xml:space="preserve">                                                             </w:t>
      </w:r>
      <w:r w:rsidR="000D722B">
        <w:rPr>
          <w:rFonts w:ascii="Times New Roman" w:hAnsi="Times New Roman"/>
          <w:sz w:val="24"/>
          <w:szCs w:val="24"/>
        </w:rPr>
        <w:t xml:space="preserve">                       </w:t>
      </w:r>
      <w:r w:rsidR="000468F9">
        <w:rPr>
          <w:rFonts w:ascii="Times New Roman" w:hAnsi="Times New Roman"/>
          <w:sz w:val="24"/>
          <w:szCs w:val="24"/>
        </w:rPr>
        <w:t>DIRECTOR GENERAL,</w:t>
      </w:r>
    </w:p>
    <w:p w:rsidR="00937ACC" w:rsidRPr="00A4510F" w:rsidRDefault="000D722B" w:rsidP="000D722B">
      <w:pPr>
        <w:spacing w:after="0"/>
        <w:jc w:val="right"/>
        <w:rPr>
          <w:rFonts w:ascii="Times New Roman" w:hAnsi="Times New Roman"/>
          <w:sz w:val="24"/>
          <w:szCs w:val="24"/>
        </w:rPr>
      </w:pPr>
      <w:r>
        <w:rPr>
          <w:rFonts w:ascii="Times New Roman" w:hAnsi="Times New Roman"/>
          <w:sz w:val="24"/>
          <w:szCs w:val="24"/>
        </w:rPr>
        <w:t xml:space="preserve">    BONCEA MIHAI </w:t>
      </w:r>
    </w:p>
    <w:sectPr w:rsidR="00937ACC" w:rsidRPr="00A4510F" w:rsidSect="00991442">
      <w:headerReference w:type="default" r:id="rId7"/>
      <w:pgSz w:w="11906" w:h="16838" w:code="9"/>
      <w:pgMar w:top="2071" w:right="1134" w:bottom="1134" w:left="1418"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EE" w:rsidRDefault="00F549EE">
      <w:pPr>
        <w:spacing w:after="0" w:line="240" w:lineRule="auto"/>
      </w:pPr>
      <w:r>
        <w:separator/>
      </w:r>
    </w:p>
  </w:endnote>
  <w:endnote w:type="continuationSeparator" w:id="0">
    <w:p w:rsidR="00F549EE" w:rsidRDefault="00F54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EE" w:rsidRDefault="00F549EE">
      <w:pPr>
        <w:spacing w:after="0" w:line="240" w:lineRule="auto"/>
      </w:pPr>
      <w:r>
        <w:separator/>
      </w:r>
    </w:p>
  </w:footnote>
  <w:footnote w:type="continuationSeparator" w:id="0">
    <w:p w:rsidR="00F549EE" w:rsidRDefault="00F549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BE" w:rsidRPr="00E0079F" w:rsidRDefault="001803BE" w:rsidP="009B430D">
    <w:pPr>
      <w:pStyle w:val="Normal1"/>
      <w:rPr>
        <w:rFonts w:ascii="Times New Roman" w:hAnsi="Times New Roman" w:cs="Times New Roman"/>
        <w:b/>
        <w:sz w:val="18"/>
        <w:szCs w:val="18"/>
        <w:lang w:val="ro-RO"/>
      </w:rPr>
    </w:pPr>
    <w:r w:rsidRPr="001803BE">
      <w:rPr>
        <w:rFonts w:ascii="Times New Roman" w:hAnsi="Times New Roman"/>
        <w:b/>
        <w:sz w:val="18"/>
        <w:szCs w:val="18"/>
      </w:rPr>
      <w:t xml:space="preserve"> </w:t>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rsidR="001803BE" w:rsidRPr="00E0079F" w:rsidRDefault="001803BE" w:rsidP="009B430D">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JUDEȚUL TIMIȘ</w:t>
    </w:r>
  </w:p>
  <w:p w:rsidR="001803BE" w:rsidRPr="00E0079F" w:rsidRDefault="000630B2" w:rsidP="009B430D">
    <w:pPr>
      <w:pStyle w:val="Normal1"/>
      <w:rPr>
        <w:rFonts w:ascii="Times New Roman" w:hAnsi="Times New Roman" w:cs="Times New Roman"/>
        <w:b/>
        <w:sz w:val="18"/>
        <w:szCs w:val="18"/>
        <w:lang w:val="ro-RO"/>
      </w:rPr>
    </w:pPr>
    <w:r w:rsidRPr="000630B2">
      <w:rPr>
        <w:rFonts w:ascii="Times New Roman" w:hAnsi="Times New Roman" w:cs="Times New Roman"/>
        <w:b/>
        <w:noProof/>
        <w:sz w:val="18"/>
        <w:szCs w:val="18"/>
      </w:rPr>
      <w:drawing>
        <wp:anchor distT="0" distB="0" distL="0" distR="0" simplePos="0" relativeHeight="251659264" behindDoc="0" locked="0" layoutInCell="1" allowOverlap="1">
          <wp:simplePos x="0" y="0"/>
          <wp:positionH relativeFrom="page">
            <wp:posOffset>195783</wp:posOffset>
          </wp:positionH>
          <wp:positionV relativeFrom="page">
            <wp:posOffset>268941</wp:posOffset>
          </wp:positionV>
          <wp:extent cx="595672" cy="768404"/>
          <wp:effectExtent l="1905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cstate="print"/>
                  <a:srcRect l="11762" r="12000"/>
                  <a:stretch/>
                </pic:blipFill>
                <pic:spPr bwMode="auto">
                  <a:xfrm>
                    <a:off x="0" y="0"/>
                    <a:ext cx="595630" cy="7683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1803BE">
      <w:rPr>
        <w:rFonts w:ascii="Times New Roman" w:hAnsi="Times New Roman" w:cs="Times New Roman"/>
        <w:b/>
        <w:sz w:val="18"/>
        <w:szCs w:val="18"/>
        <w:lang w:val="ro-RO"/>
      </w:rPr>
      <w:t xml:space="preserve"> </w:t>
    </w:r>
    <w:r w:rsidR="001803BE" w:rsidRPr="00E0079F">
      <w:rPr>
        <w:rFonts w:ascii="Times New Roman" w:hAnsi="Times New Roman" w:cs="Times New Roman"/>
        <w:b/>
        <w:sz w:val="18"/>
        <w:szCs w:val="18"/>
        <w:lang w:val="ro-RO"/>
      </w:rPr>
      <w:t>CONSILIUL LOCAL AL MUNICIPIULUI TIMIȘOARA</w:t>
    </w:r>
  </w:p>
  <w:p w:rsidR="001803BE" w:rsidRPr="00E0079F" w:rsidRDefault="001803BE" w:rsidP="009B430D">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ADMINISTRAȚIA PENTRU SĂNĂTATE ȘI EDUCAȚIE A MUNICIPIULUI TIMIȘOARA</w:t>
    </w:r>
  </w:p>
  <w:p w:rsidR="001803BE" w:rsidRDefault="001803BE" w:rsidP="009B430D">
    <w:pPr>
      <w:pStyle w:val="Normal1"/>
      <w:rPr>
        <w:rFonts w:ascii="Times New Roman" w:hAnsi="Times New Roman" w:cs="Times New Roman"/>
        <w:sz w:val="18"/>
        <w:szCs w:val="18"/>
      </w:rPr>
    </w:pPr>
    <w:r w:rsidRPr="00511719">
      <w:rPr>
        <w:rFonts w:ascii="Times New Roman" w:hAnsi="Times New Roman" w:cs="Times New Roman"/>
        <w:sz w:val="18"/>
        <w:szCs w:val="18"/>
      </w:rPr>
      <w:t xml:space="preserve">Bd. C.D. </w:t>
    </w:r>
    <w:proofErr w:type="spellStart"/>
    <w:r w:rsidRPr="00511719">
      <w:rPr>
        <w:rFonts w:ascii="Times New Roman" w:hAnsi="Times New Roman" w:cs="Times New Roman"/>
        <w:sz w:val="18"/>
        <w:szCs w:val="18"/>
      </w:rPr>
      <w:t>Loga</w:t>
    </w:r>
    <w:proofErr w:type="spellEnd"/>
    <w:r w:rsidRPr="00511719">
      <w:rPr>
        <w:rFonts w:ascii="Times New Roman" w:hAnsi="Times New Roman" w:cs="Times New Roman"/>
        <w:sz w:val="18"/>
        <w:szCs w:val="18"/>
      </w:rPr>
      <w:t xml:space="preserve"> nr. 1, </w:t>
    </w:r>
    <w:proofErr w:type="spellStart"/>
    <w:r w:rsidRPr="00511719">
      <w:rPr>
        <w:rFonts w:ascii="Times New Roman" w:hAnsi="Times New Roman" w:cs="Times New Roman"/>
        <w:sz w:val="18"/>
        <w:szCs w:val="18"/>
      </w:rPr>
      <w:t>Timișoara</w:t>
    </w:r>
    <w:proofErr w:type="spellEnd"/>
    <w:r w:rsidRPr="00511719">
      <w:rPr>
        <w:rFonts w:ascii="Times New Roman" w:hAnsi="Times New Roman" w:cs="Times New Roman"/>
        <w:sz w:val="18"/>
        <w:szCs w:val="18"/>
      </w:rPr>
      <w:t xml:space="preserve">, </w:t>
    </w:r>
    <w:proofErr w:type="spellStart"/>
    <w:r w:rsidRPr="00511719">
      <w:rPr>
        <w:rFonts w:ascii="Times New Roman" w:hAnsi="Times New Roman" w:cs="Times New Roman"/>
        <w:sz w:val="18"/>
        <w:szCs w:val="18"/>
      </w:rPr>
      <w:t>România</w:t>
    </w:r>
    <w:proofErr w:type="spellEnd"/>
    <w:r>
      <w:rPr>
        <w:rFonts w:ascii="Times New Roman" w:hAnsi="Times New Roman" w:cs="Times New Roman"/>
        <w:sz w:val="18"/>
        <w:szCs w:val="18"/>
      </w:rPr>
      <w:t xml:space="preserve">, </w:t>
    </w:r>
    <w:r w:rsidRPr="00511719">
      <w:rPr>
        <w:rFonts w:ascii="Times New Roman" w:hAnsi="Times New Roman" w:cs="Times New Roman"/>
        <w:sz w:val="18"/>
        <w:szCs w:val="18"/>
      </w:rPr>
      <w:t>+40256-408.300</w:t>
    </w:r>
  </w:p>
  <w:p w:rsidR="00450A04" w:rsidRPr="00256625" w:rsidRDefault="00450A04" w:rsidP="00450A04">
    <w:pPr>
      <w:pStyle w:val="NoSpacing"/>
      <w:jc w:val="center"/>
      <w:rPr>
        <w:rFonts w:ascii="Times New Roman" w:hAnsi="Times New Roman"/>
        <w:i/>
        <w:sz w:val="24"/>
        <w:szCs w:val="24"/>
        <w:vertAlign w:val="superscript"/>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0457"/>
    <w:multiLevelType w:val="hybridMultilevel"/>
    <w:tmpl w:val="86D046D2"/>
    <w:lvl w:ilvl="0" w:tplc="83E0A8D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4510F"/>
    <w:rsid w:val="00007414"/>
    <w:rsid w:val="000468F9"/>
    <w:rsid w:val="000630B2"/>
    <w:rsid w:val="00065BD9"/>
    <w:rsid w:val="000A684B"/>
    <w:rsid w:val="000D1C38"/>
    <w:rsid w:val="000D6E8E"/>
    <w:rsid w:val="000D722B"/>
    <w:rsid w:val="000E6422"/>
    <w:rsid w:val="00130E4F"/>
    <w:rsid w:val="001710B7"/>
    <w:rsid w:val="001803BE"/>
    <w:rsid w:val="00187F82"/>
    <w:rsid w:val="001B03B3"/>
    <w:rsid w:val="001B1985"/>
    <w:rsid w:val="001B1BFF"/>
    <w:rsid w:val="001C0C2A"/>
    <w:rsid w:val="001E3B78"/>
    <w:rsid w:val="002002FC"/>
    <w:rsid w:val="00224387"/>
    <w:rsid w:val="0023698E"/>
    <w:rsid w:val="0024750F"/>
    <w:rsid w:val="00256625"/>
    <w:rsid w:val="002C6071"/>
    <w:rsid w:val="00333C01"/>
    <w:rsid w:val="00426049"/>
    <w:rsid w:val="004349BB"/>
    <w:rsid w:val="00450A04"/>
    <w:rsid w:val="0048075E"/>
    <w:rsid w:val="004B4B0A"/>
    <w:rsid w:val="004B66DA"/>
    <w:rsid w:val="004C6FC5"/>
    <w:rsid w:val="004E277F"/>
    <w:rsid w:val="004F70EA"/>
    <w:rsid w:val="00545C0D"/>
    <w:rsid w:val="005F0063"/>
    <w:rsid w:val="00605DD6"/>
    <w:rsid w:val="006829C5"/>
    <w:rsid w:val="006C0D15"/>
    <w:rsid w:val="006D43D8"/>
    <w:rsid w:val="006E36DE"/>
    <w:rsid w:val="006F5529"/>
    <w:rsid w:val="00766D19"/>
    <w:rsid w:val="007C7CAF"/>
    <w:rsid w:val="007D5A7E"/>
    <w:rsid w:val="00800FF3"/>
    <w:rsid w:val="00850914"/>
    <w:rsid w:val="0085648B"/>
    <w:rsid w:val="00875AC5"/>
    <w:rsid w:val="008A3469"/>
    <w:rsid w:val="008B061B"/>
    <w:rsid w:val="008D49B1"/>
    <w:rsid w:val="009277AF"/>
    <w:rsid w:val="00937ACC"/>
    <w:rsid w:val="00991442"/>
    <w:rsid w:val="00991C89"/>
    <w:rsid w:val="009A3118"/>
    <w:rsid w:val="009A5B8A"/>
    <w:rsid w:val="009B430D"/>
    <w:rsid w:val="009C7E4A"/>
    <w:rsid w:val="009E1E76"/>
    <w:rsid w:val="00A279B8"/>
    <w:rsid w:val="00A33FE6"/>
    <w:rsid w:val="00A4510F"/>
    <w:rsid w:val="00A9512C"/>
    <w:rsid w:val="00AD5E40"/>
    <w:rsid w:val="00AF11A7"/>
    <w:rsid w:val="00AF7665"/>
    <w:rsid w:val="00B16B1B"/>
    <w:rsid w:val="00B2712D"/>
    <w:rsid w:val="00B744A3"/>
    <w:rsid w:val="00BD2CFC"/>
    <w:rsid w:val="00BD6C4E"/>
    <w:rsid w:val="00C11E7E"/>
    <w:rsid w:val="00C77718"/>
    <w:rsid w:val="00C91529"/>
    <w:rsid w:val="00CA7B46"/>
    <w:rsid w:val="00CC42C5"/>
    <w:rsid w:val="00CE395B"/>
    <w:rsid w:val="00CE7998"/>
    <w:rsid w:val="00CF7751"/>
    <w:rsid w:val="00D15AF2"/>
    <w:rsid w:val="00D269D8"/>
    <w:rsid w:val="00D32A9D"/>
    <w:rsid w:val="00D66E42"/>
    <w:rsid w:val="00D7101A"/>
    <w:rsid w:val="00E22B52"/>
    <w:rsid w:val="00EE6751"/>
    <w:rsid w:val="00EE77E8"/>
    <w:rsid w:val="00EF3040"/>
    <w:rsid w:val="00F32CC1"/>
    <w:rsid w:val="00F549EE"/>
    <w:rsid w:val="00FC3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table" w:styleId="TableGrid">
    <w:name w:val="Table Grid"/>
    <w:basedOn w:val="TableNormal"/>
    <w:uiPriority w:val="59"/>
    <w:rsid w:val="00A451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9512C"/>
    <w:pPr>
      <w:ind w:left="720"/>
      <w:contextualSpacing/>
    </w:pPr>
  </w:style>
  <w:style w:type="paragraph" w:customStyle="1" w:styleId="Normal1">
    <w:name w:val="Normal1"/>
    <w:rsid w:val="001803BE"/>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4</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Georgeta.Parente</cp:lastModifiedBy>
  <cp:revision>4</cp:revision>
  <cp:lastPrinted>2022-11-07T10:38:00Z</cp:lastPrinted>
  <dcterms:created xsi:type="dcterms:W3CDTF">2022-11-07T13:51:00Z</dcterms:created>
  <dcterms:modified xsi:type="dcterms:W3CDTF">2022-11-14T07:09:00Z</dcterms:modified>
</cp:coreProperties>
</file>