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ROMÂNIA</w:t>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JUDEȚUL TIMIŞ</w:t>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MUNICIPIUL TIMIȘOARA</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6"/>
          <w:szCs w:val="26"/>
        </w:rPr>
      </w:pPr>
      <w:r w:rsidDel="00000000" w:rsidR="00000000" w:rsidRPr="00000000">
        <w:rPr>
          <w:rFonts w:ascii="Arial" w:cs="Arial" w:eastAsia="Arial" w:hAnsi="Arial"/>
          <w:b w:val="1"/>
          <w:sz w:val="22"/>
          <w:szCs w:val="22"/>
          <w:rtl w:val="0"/>
        </w:rPr>
        <w:t xml:space="preserve">NR. _____________________</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REFERAT DE APROBARE A PROIECTULUI DE HOTĂRÂRE</w:t>
      </w:r>
    </w:p>
    <w:p w:rsidR="00000000" w:rsidDel="00000000" w:rsidP="00000000" w:rsidRDefault="00000000" w:rsidRPr="00000000" w14:paraId="00000009">
      <w:pPr>
        <w:spacing w:after="280" w:lineRule="auto"/>
        <w:jc w:val="center"/>
        <w:rPr>
          <w:rFonts w:ascii="Arial" w:cs="Arial" w:eastAsia="Arial" w:hAnsi="Arial"/>
          <w:i w:val="0"/>
          <w:smallCaps w:val="0"/>
          <w:strike w:val="0"/>
          <w:color w:val="212529"/>
          <w:u w:val="none"/>
          <w:shd w:fill="auto" w:val="clear"/>
          <w:vertAlign w:val="baseline"/>
        </w:rPr>
      </w:pPr>
      <w:r w:rsidDel="00000000" w:rsidR="00000000" w:rsidRPr="00000000">
        <w:rPr>
          <w:rFonts w:ascii="Arial" w:cs="Arial" w:eastAsia="Arial" w:hAnsi="Arial"/>
          <w:color w:val="212529"/>
          <w:sz w:val="22"/>
          <w:szCs w:val="22"/>
          <w:rtl w:val="0"/>
        </w:rPr>
        <w:t xml:space="preserve">privind modificarea și aprobarea Hotărârii Consiliului Local al Municipiului Timișoara nr. 84/2021 privind modificarea Hotărârii Consiliului Local al Municipiului Timișoara nr. 270/2020 privind înființarea, organizarea și funcționarea Centrului de Proiecte Culturale și Administrare a Moștenirii Capitalei Culturale Europene al Municipiului Timișoara</w:t>
      </w: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1</w:t>
      </w:r>
    </w:p>
    <w:p w:rsidR="00000000" w:rsidDel="00000000" w:rsidP="00000000" w:rsidRDefault="00000000" w:rsidRPr="00000000" w14:paraId="0000000C">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Titlul proiectului de hotărâre</w:t>
      </w:r>
    </w:p>
    <w:p w:rsidR="00000000" w:rsidDel="00000000" w:rsidP="00000000" w:rsidRDefault="00000000" w:rsidRPr="00000000" w14:paraId="0000000D">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i w:val="0"/>
          <w:smallCaps w:val="0"/>
          <w:strike w:val="0"/>
          <w:color w:val="212529"/>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Proiect de hotărâre </w:t>
      </w:r>
      <w:r w:rsidDel="00000000" w:rsidR="00000000" w:rsidRPr="00000000">
        <w:rPr>
          <w:rFonts w:ascii="Arial" w:cs="Arial" w:eastAsia="Arial" w:hAnsi="Arial"/>
          <w:color w:val="212529"/>
          <w:sz w:val="22"/>
          <w:szCs w:val="22"/>
          <w:rtl w:val="0"/>
        </w:rPr>
        <w:t xml:space="preserve">privind modificarea Hotărârii Consiliului Local al Municipiului Timișoara nr. 84/2021 privind modificarea Hotărârii Consiliului Local al Municipiului Timișoara nr. 270/2020 privind înființarea, organizarea și funcționarea Centrului de Proiecte Culturale și Administrare a Moștenirii Capitalei Culturale Europene al Municipiului Timișoara</w:t>
      </w: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a 2-a</w:t>
      </w:r>
    </w:p>
    <w:p w:rsidR="00000000" w:rsidDel="00000000" w:rsidP="00000000" w:rsidRDefault="00000000" w:rsidRPr="00000000" w14:paraId="00000011">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Motivul emiterii proiectului de hotărâre</w:t>
      </w:r>
    </w:p>
    <w:p w:rsidR="00000000" w:rsidDel="00000000" w:rsidP="00000000" w:rsidRDefault="00000000" w:rsidRPr="00000000" w14:paraId="0000001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b w:val="1"/>
          <w:sz w:val="22"/>
          <w:szCs w:val="22"/>
          <w:rtl w:val="0"/>
        </w:rPr>
        <w:t xml:space="preserve">1. Descrierea situației actuale</w:t>
      </w: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rtl w:val="0"/>
        </w:rPr>
        <w:tab/>
      </w:r>
      <w:r w:rsidDel="00000000" w:rsidR="00000000" w:rsidRPr="00000000">
        <w:rPr>
          <w:rFonts w:ascii="Arial" w:cs="Arial" w:eastAsia="Arial" w:hAnsi="Arial"/>
          <w:sz w:val="20"/>
          <w:szCs w:val="20"/>
          <w:rtl w:val="0"/>
        </w:rPr>
        <w:t xml:space="preserve">Prin Hotărârea Consiliului Local al Municipiului Timișoara nr. 270/2020 s-a reglementat înființarea, organizarea și funcționarea Centrului de Proiecte Culturale și Administrare a Moștenirii Capitalei Culturale Europene al Municipiului Timișoara.</w:t>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ab/>
        <w:t xml:space="preserve">Prin Hotărârea Consiliului Local nr. 84/2021 s-a modificat denumirea acestuia, devenind Centrul de Proiecte al Municipiului Timișoara, cu sediul în Timișoara, str. Vasile Alecsandri nr. 1, județul Timiș și s-au aprobat regulamentul de organizare și funcționare, organigrama, statul de funcții și nivelul salariilor de bază.</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ab/>
        <w:t xml:space="preserve">În prezent, Centrul de Proiecte al Municipiului Timișoara funcționează cu un număr de 7 angajați.</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Schimbări preconizate și rezultate așteptate</w:t>
      </w:r>
    </w:p>
    <w:p w:rsidR="00000000" w:rsidDel="00000000" w:rsidP="00000000" w:rsidRDefault="00000000" w:rsidRPr="00000000" w14:paraId="00000019">
      <w:pPr>
        <w:jc w:val="both"/>
        <w:rPr>
          <w:rFonts w:ascii="Arial" w:cs="Arial" w:eastAsia="Arial" w:hAnsi="Arial"/>
          <w:color w:val="212529"/>
          <w:sz w:val="20"/>
          <w:szCs w:val="20"/>
        </w:rPr>
      </w:pPr>
      <w:r w:rsidDel="00000000" w:rsidR="00000000" w:rsidRPr="00000000">
        <w:rPr>
          <w:rFonts w:ascii="Arial" w:cs="Arial" w:eastAsia="Arial" w:hAnsi="Arial"/>
          <w:b w:val="1"/>
          <w:rtl w:val="0"/>
        </w:rPr>
        <w:tab/>
      </w:r>
      <w:r w:rsidDel="00000000" w:rsidR="00000000" w:rsidRPr="00000000">
        <w:rPr>
          <w:rFonts w:ascii="Arial" w:cs="Arial" w:eastAsia="Arial" w:hAnsi="Arial"/>
          <w:sz w:val="20"/>
          <w:szCs w:val="20"/>
          <w:rtl w:val="0"/>
        </w:rPr>
        <w:t xml:space="preserve">Propunerea de modificare a </w:t>
      </w:r>
      <w:r w:rsidDel="00000000" w:rsidR="00000000" w:rsidRPr="00000000">
        <w:rPr>
          <w:rFonts w:ascii="Arial" w:cs="Arial" w:eastAsia="Arial" w:hAnsi="Arial"/>
          <w:color w:val="212529"/>
          <w:sz w:val="20"/>
          <w:szCs w:val="20"/>
          <w:rtl w:val="0"/>
        </w:rPr>
        <w:t xml:space="preserve">Hotărârii Consiliului Local al Municipiului Timișoara nr. 84/2021 presupune aprobarea modificării organigramei,  statului de funcții și nivelului salariilor de bază pentru Centrul de Proiecte al Municipiului Timișoara, conform anexelor nr. 1, 2 și 3.</w:t>
      </w:r>
    </w:p>
    <w:p w:rsidR="00000000" w:rsidDel="00000000" w:rsidP="00000000" w:rsidRDefault="00000000" w:rsidRPr="00000000" w14:paraId="0000001A">
      <w:pPr>
        <w:ind w:firstLine="720"/>
        <w:rPr>
          <w:rFonts w:ascii="Arial" w:cs="Arial" w:eastAsia="Arial" w:hAnsi="Arial"/>
          <w:sz w:val="20"/>
          <w:szCs w:val="20"/>
        </w:rPr>
      </w:pPr>
      <w:bookmarkStart w:colFirst="0" w:colLast="0" w:name="_xz1i0vo0iola" w:id="0"/>
      <w:bookmarkEnd w:id="0"/>
      <w:r w:rsidDel="00000000" w:rsidR="00000000" w:rsidRPr="00000000">
        <w:rPr>
          <w:rFonts w:ascii="Arial" w:cs="Arial" w:eastAsia="Arial" w:hAnsi="Arial"/>
          <w:sz w:val="20"/>
          <w:szCs w:val="20"/>
          <w:rtl w:val="0"/>
        </w:rPr>
        <w:t xml:space="preserve">Având în vedere necesitatea preluării de către Centrul de Proiecte a funcției de administrare de spații și alte resurse logistice, inclusiv dezvoltare prin metode participative a conceptelor de funcționalizare a spațiilor culturale, sociale și educative din oraș,</w:t>
      </w:r>
    </w:p>
    <w:p w:rsidR="00000000" w:rsidDel="00000000" w:rsidP="00000000" w:rsidRDefault="00000000" w:rsidRPr="00000000" w14:paraId="0000001B">
      <w:pPr>
        <w:ind w:firstLine="720"/>
        <w:rPr>
          <w:rFonts w:ascii="Arial" w:cs="Arial" w:eastAsia="Arial" w:hAnsi="Arial"/>
          <w:sz w:val="20"/>
          <w:szCs w:val="20"/>
        </w:rPr>
      </w:pPr>
      <w:bookmarkStart w:colFirst="0" w:colLast="0" w:name="_vghmnvst4zh0" w:id="1"/>
      <w:bookmarkEnd w:id="1"/>
      <w:r w:rsidDel="00000000" w:rsidR="00000000" w:rsidRPr="00000000">
        <w:rPr>
          <w:rFonts w:ascii="Arial" w:cs="Arial" w:eastAsia="Arial" w:hAnsi="Arial"/>
          <w:sz w:val="20"/>
          <w:szCs w:val="20"/>
          <w:rtl w:val="0"/>
        </w:rPr>
        <w:t xml:space="preserve">Având în vedere necesitatea creșterii capacității Centrului de Proiecte de a oferi asistență și sprijin în scrierea de proiecte, curatoriat, dezvoltare de parteneriate intersectoriale și scalarea impactului,</w:t>
      </w:r>
    </w:p>
    <w:p w:rsidR="00000000" w:rsidDel="00000000" w:rsidP="00000000" w:rsidRDefault="00000000" w:rsidRPr="00000000" w14:paraId="0000001C">
      <w:pPr>
        <w:rPr>
          <w:rFonts w:ascii="Arial" w:cs="Arial" w:eastAsia="Arial" w:hAnsi="Arial"/>
          <w:sz w:val="20"/>
          <w:szCs w:val="20"/>
        </w:rPr>
      </w:pPr>
      <w:bookmarkStart w:colFirst="0" w:colLast="0" w:name="_j58bc29dc5ep" w:id="2"/>
      <w:bookmarkEnd w:id="2"/>
      <w:r w:rsidDel="00000000" w:rsidR="00000000" w:rsidRPr="00000000">
        <w:rPr>
          <w:rFonts w:ascii="Arial" w:cs="Arial" w:eastAsia="Arial" w:hAnsi="Arial"/>
          <w:sz w:val="20"/>
          <w:szCs w:val="20"/>
          <w:rtl w:val="0"/>
        </w:rPr>
        <w:tab/>
        <w:t xml:space="preserve">Luând în considerare dezvoltarea pe mai multe dimensiuni a funcției de monitorizare, evaluare și analiză de impact a proiectelor și programelor finanțate;</w:t>
      </w:r>
    </w:p>
    <w:p w:rsidR="00000000" w:rsidDel="00000000" w:rsidP="00000000" w:rsidRDefault="00000000" w:rsidRPr="00000000" w14:paraId="0000001D">
      <w:pPr>
        <w:rPr>
          <w:rFonts w:ascii="Arial" w:cs="Arial" w:eastAsia="Arial" w:hAnsi="Arial"/>
          <w:sz w:val="20"/>
          <w:szCs w:val="20"/>
        </w:rPr>
      </w:pPr>
      <w:bookmarkStart w:colFirst="0" w:colLast="0" w:name="_m9z2zyikpleu" w:id="3"/>
      <w:bookmarkEnd w:id="3"/>
      <w:r w:rsidDel="00000000" w:rsidR="00000000" w:rsidRPr="00000000">
        <w:rPr>
          <w:rFonts w:ascii="Arial" w:cs="Arial" w:eastAsia="Arial" w:hAnsi="Arial"/>
          <w:sz w:val="20"/>
          <w:szCs w:val="20"/>
          <w:rtl w:val="0"/>
        </w:rPr>
        <w:tab/>
        <w:t xml:space="preserve">Având în vedere necesitatea dezvoltării website-ului Centrului de Proiecte al Municipiului Timișoara și a platformei digitale a orașului privind evenimentele, calendarul acestora, infrastructura culturală și alte resurse;</w:t>
      </w:r>
    </w:p>
    <w:p w:rsidR="00000000" w:rsidDel="00000000" w:rsidP="00000000" w:rsidRDefault="00000000" w:rsidRPr="00000000" w14:paraId="0000001E">
      <w:pPr>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că numărul mare de oferte înscrise la primele 3 apeluri de finanțare, precum și perspectiva apelurilor de finanțare care urmează a se lansa în domeniile tineret și sport necesită asigurarea unei minuțioase gestionări a acestei activități,</w:t>
      </w:r>
    </w:p>
    <w:p w:rsidR="00000000" w:rsidDel="00000000" w:rsidP="00000000" w:rsidRDefault="00000000" w:rsidRPr="00000000" w14:paraId="0000001F">
      <w:pPr>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art. 3 alin. 2 din O.U.G. nr. 63/2010 potrivit căruia serviciilor publice de interes local sau județean, specializate, cu personalitate juridică, înființate și organizate în subordinea consiliilor locale sau consiliilor județene, după caz, prin hotărâri ale autorităților deliberative ale unităților administrativ-teritoriale respective nu li se aplică prevederile art. 3 alin. 1 din aceeași O.U.G. privind elaborarea organigramei și statului de funcții cu încadrarea într-un număr maxim de posturi;</w:t>
      </w:r>
    </w:p>
    <w:p w:rsidR="00000000" w:rsidDel="00000000" w:rsidP="00000000" w:rsidRDefault="00000000" w:rsidRPr="00000000" w14:paraId="00000020">
      <w:pPr>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Luând în considerare faptul că, cheltuielile aferente acestor propuneri de suplimentare de posturi, se încadrează în prevederile bugetare aprobate în conformitate cu HCL 132/22.04.2021,</w:t>
      </w:r>
    </w:p>
    <w:p w:rsidR="00000000" w:rsidDel="00000000" w:rsidP="00000000" w:rsidRDefault="00000000" w:rsidRPr="00000000" w14:paraId="00000021">
      <w:pPr>
        <w:ind w:firstLine="70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212529"/>
          <w:sz w:val="20"/>
          <w:szCs w:val="20"/>
        </w:rPr>
      </w:pPr>
      <w:r w:rsidDel="00000000" w:rsidR="00000000" w:rsidRPr="00000000">
        <w:rPr>
          <w:rFonts w:ascii="Arial" w:cs="Arial" w:eastAsia="Arial" w:hAnsi="Arial"/>
          <w:color w:val="212529"/>
          <w:sz w:val="20"/>
          <w:szCs w:val="20"/>
          <w:rtl w:val="0"/>
        </w:rPr>
        <w:tab/>
        <w:t xml:space="preserve">Creșterea numărului personalului angajat astfel propusă va avea un impact pozitiv asupra eficientizării activității Centrului de Proiecte al Municipiului Timișoara.</w:t>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Alte informații</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b w:val="1"/>
          <w:sz w:val="22"/>
          <w:szCs w:val="22"/>
          <w:rtl w:val="0"/>
        </w:rPr>
        <w:t xml:space="preserve">4. Concluzii</w:t>
      </w:r>
      <w:r w:rsidDel="00000000" w:rsidR="00000000" w:rsidRPr="00000000">
        <w:rPr>
          <w:rtl w:val="0"/>
        </w:rPr>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rtl w:val="0"/>
        </w:rPr>
        <w:tab/>
      </w:r>
      <w:r w:rsidDel="00000000" w:rsidR="00000000" w:rsidRPr="00000000">
        <w:rPr>
          <w:rFonts w:ascii="Arial" w:cs="Arial" w:eastAsia="Arial" w:hAnsi="Arial"/>
          <w:sz w:val="20"/>
          <w:szCs w:val="20"/>
          <w:rtl w:val="0"/>
        </w:rPr>
        <w:t xml:space="preserve">Luând în considerare cele de mai sus, propunem modificarea Hotărârii Consiliului Local al Municipiului Timișoara nr. 84/2020, conform anexelor 1 și 2.</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22"/>
          <w:szCs w:val="22"/>
        </w:rPr>
      </w:pPr>
      <w:bookmarkStart w:colFirst="0" w:colLast="0" w:name="_gjdgxs" w:id="4"/>
      <w:bookmarkEnd w:id="4"/>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PRIMAR,</w:t>
        <w:tab/>
        <w:tab/>
        <w:tab/>
        <w:tab/>
        <w:tab/>
        <w:tab/>
        <w:t xml:space="preserve">                 DIRECTOR,</w:t>
      </w:r>
    </w:p>
    <w:p w:rsidR="00000000" w:rsidDel="00000000" w:rsidP="00000000" w:rsidRDefault="00000000" w:rsidRPr="00000000" w14:paraId="0000002E">
      <w:pPr>
        <w:jc w:val="both"/>
        <w:rPr>
          <w:rFonts w:ascii="Arial" w:cs="Arial" w:eastAsia="Arial" w:hAnsi="Arial"/>
          <w:b w:val="1"/>
          <w:sz w:val="22"/>
          <w:szCs w:val="22"/>
        </w:rPr>
      </w:pPr>
      <w:bookmarkStart w:colFirst="0" w:colLast="0" w:name="_dkjv9ekirt2w" w:id="5"/>
      <w:bookmarkEnd w:id="5"/>
      <w:r w:rsidDel="00000000" w:rsidR="00000000" w:rsidRPr="00000000">
        <w:rPr>
          <w:rtl w:val="0"/>
        </w:rPr>
      </w:r>
    </w:p>
    <w:p w:rsidR="00000000" w:rsidDel="00000000" w:rsidP="00000000" w:rsidRDefault="00000000" w:rsidRPr="00000000" w14:paraId="0000002F">
      <w:pPr>
        <w:jc w:val="both"/>
        <w:rPr>
          <w:rFonts w:ascii="Arial" w:cs="Arial" w:eastAsia="Arial" w:hAnsi="Arial"/>
          <w:b w:val="1"/>
          <w:sz w:val="22"/>
          <w:szCs w:val="22"/>
        </w:rPr>
      </w:pPr>
      <w:bookmarkStart w:colFirst="0" w:colLast="0" w:name="_qchj1fyfx739" w:id="6"/>
      <w:bookmarkEnd w:id="6"/>
      <w:r w:rsidDel="00000000" w:rsidR="00000000" w:rsidRPr="00000000">
        <w:rPr>
          <w:rFonts w:ascii="Arial" w:cs="Arial" w:eastAsia="Arial" w:hAnsi="Arial"/>
          <w:b w:val="1"/>
          <w:sz w:val="22"/>
          <w:szCs w:val="22"/>
          <w:rtl w:val="0"/>
        </w:rPr>
        <w:t xml:space="preserve">  DOMINIC FRITZ</w:t>
        <w:tab/>
        <w:tab/>
        <w:tab/>
        <w:tab/>
        <w:tab/>
        <w:t xml:space="preserve">   ALEXANDRA-MARIA RIGLER</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