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104" w:rsidRPr="002B58BF" w:rsidRDefault="00FC5104" w:rsidP="007E7435">
      <w:r w:rsidRPr="002B58BF">
        <w:rPr>
          <w:noProof/>
          <w:lang w:val="en-US" w:eastAsia="en-US"/>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p>
    <w:p w:rsidR="00FC5104" w:rsidRPr="002B58BF" w:rsidRDefault="00FC5104" w:rsidP="00FC5104">
      <w:pPr>
        <w:ind w:left="720"/>
      </w:pPr>
      <w:r w:rsidRPr="002B58BF">
        <w:t>ROMÂNIA</w:t>
      </w:r>
    </w:p>
    <w:p w:rsidR="00FC5104" w:rsidRPr="002B58BF" w:rsidRDefault="00B70CDB" w:rsidP="00FC5104">
      <w:pPr>
        <w:ind w:left="720"/>
      </w:pPr>
      <w:r w:rsidRPr="002B58BF">
        <w:t>JUDEŢUL TIMIŞ</w:t>
      </w:r>
    </w:p>
    <w:p w:rsidR="00FC5104" w:rsidRPr="002B58BF" w:rsidRDefault="00FC5104" w:rsidP="00FC5104">
      <w:pPr>
        <w:ind w:left="720"/>
      </w:pPr>
      <w:r w:rsidRPr="002B58BF">
        <w:t>MU</w:t>
      </w:r>
      <w:r w:rsidR="00B70CDB" w:rsidRPr="002B58BF">
        <w:t>NICIPIUL TIMIŞ</w:t>
      </w:r>
      <w:r w:rsidRPr="002B58BF">
        <w:t>OARA</w:t>
      </w:r>
    </w:p>
    <w:p w:rsidR="00FC5104" w:rsidRPr="002B58BF" w:rsidRDefault="00B70CDB" w:rsidP="00FC5104">
      <w:pPr>
        <w:ind w:left="720"/>
      </w:pPr>
      <w:r w:rsidRPr="002B58BF">
        <w:t>DIRECŢIA CLĂDIRI,TERENURI Ş</w:t>
      </w:r>
      <w:r w:rsidR="002D545F" w:rsidRPr="002B58BF">
        <w:t>I DOTĂRI DIVERSE I EST</w:t>
      </w:r>
    </w:p>
    <w:p w:rsidR="00B54D34" w:rsidRPr="002B58BF" w:rsidRDefault="00B54D34" w:rsidP="00B54D34">
      <w:pPr>
        <w:jc w:val="both"/>
      </w:pPr>
      <w:r w:rsidRPr="002B58BF">
        <w:t xml:space="preserve">BIROUL </w:t>
      </w:r>
      <w:r w:rsidR="008A2598" w:rsidRPr="002B58BF">
        <w:t xml:space="preserve">CLĂDIRI </w:t>
      </w:r>
      <w:r w:rsidRPr="002B58BF">
        <w:t>TERENURI I EST</w:t>
      </w:r>
    </w:p>
    <w:p w:rsidR="00B54D34" w:rsidRPr="002B58BF" w:rsidRDefault="002D545F" w:rsidP="00B54D34">
      <w:pPr>
        <w:jc w:val="both"/>
      </w:pPr>
      <w:r w:rsidRPr="002B58BF">
        <w:t>NR.</w:t>
      </w:r>
      <w:r w:rsidR="00020B54">
        <w:t>CT</w:t>
      </w:r>
      <w:r w:rsidR="00E73CD1">
        <w:t xml:space="preserve"> </w:t>
      </w:r>
      <w:r w:rsidR="00020B54">
        <w:t>2021-000120</w:t>
      </w:r>
      <w:r w:rsidR="002E694D">
        <w:t>/ 21</w:t>
      </w:r>
      <w:r w:rsidR="00E53C5A">
        <w:t>.01.2021</w:t>
      </w:r>
    </w:p>
    <w:p w:rsidR="00FC5104" w:rsidRPr="002B58BF" w:rsidRDefault="00FC5104" w:rsidP="00B54D34">
      <w:pPr>
        <w:pBdr>
          <w:bottom w:val="single" w:sz="12" w:space="1" w:color="auto"/>
        </w:pBdr>
      </w:pPr>
    </w:p>
    <w:p w:rsidR="002B58BF" w:rsidRDefault="00FC5104" w:rsidP="002B58BF">
      <w:pPr>
        <w:tabs>
          <w:tab w:val="left" w:pos="720"/>
        </w:tabs>
        <w:spacing w:line="360" w:lineRule="auto"/>
      </w:pPr>
      <w:r w:rsidRPr="002B58BF">
        <w:t>Bd. C.D</w:t>
      </w:r>
      <w:r w:rsidRPr="00ED3B25">
        <w:t xml:space="preserve">. Loga nr. 1, Timişoara, </w:t>
      </w:r>
      <w:r w:rsidR="00B54D34" w:rsidRPr="00ED3B25">
        <w:t xml:space="preserve">tel </w:t>
      </w:r>
      <w:r w:rsidR="00B54D34" w:rsidRPr="00ED3B25">
        <w:rPr>
          <w:lang w:val="en-US"/>
        </w:rPr>
        <w:t>: +40256-</w:t>
      </w:r>
      <w:r w:rsidR="00B54D34" w:rsidRPr="00ED3B25">
        <w:t xml:space="preserve"> </w:t>
      </w:r>
      <w:r w:rsidR="00721D8C" w:rsidRPr="00ED3B25">
        <w:rPr>
          <w:lang w:val="en-US"/>
        </w:rPr>
        <w:t>40</w:t>
      </w:r>
      <w:r w:rsidR="00323E06">
        <w:rPr>
          <w:lang w:val="en-US"/>
        </w:rPr>
        <w:t>8</w:t>
      </w:r>
      <w:r w:rsidR="00721D8C" w:rsidRPr="00ED3B25">
        <w:rPr>
          <w:lang w:val="en-US"/>
        </w:rPr>
        <w:t>424</w:t>
      </w:r>
      <w:r w:rsidR="00DA7AFC" w:rsidRPr="00ED3B25">
        <w:rPr>
          <w:lang w:val="en-US"/>
        </w:rPr>
        <w:t>,</w:t>
      </w:r>
      <w:r w:rsidR="00FD18ED" w:rsidRPr="00ED3B25">
        <w:rPr>
          <w:lang w:val="en-US"/>
        </w:rPr>
        <w:t xml:space="preserve"> </w:t>
      </w:r>
      <w:hyperlink r:id="rId8" w:history="1">
        <w:r w:rsidR="00695017" w:rsidRPr="00CD5E8B">
          <w:rPr>
            <w:rStyle w:val="Hyperlink"/>
            <w:lang w:val="en-US"/>
          </w:rPr>
          <w:t>delia.nicoara@primariatm.ro</w:t>
        </w:r>
      </w:hyperlink>
    </w:p>
    <w:p w:rsidR="000245D7" w:rsidRDefault="000245D7" w:rsidP="002B58BF">
      <w:pPr>
        <w:tabs>
          <w:tab w:val="left" w:pos="720"/>
        </w:tabs>
        <w:spacing w:line="360" w:lineRule="auto"/>
        <w:rPr>
          <w:lang w:val="en-US"/>
        </w:rPr>
      </w:pPr>
    </w:p>
    <w:p w:rsidR="00020B54" w:rsidRDefault="00020B54" w:rsidP="00020B54">
      <w:pPr>
        <w:pStyle w:val="NoSpacing"/>
        <w:jc w:val="center"/>
        <w:rPr>
          <w:rFonts w:ascii="Times New Roman" w:hAnsi="Times New Roman" w:cs="Times New Roman"/>
          <w:b/>
          <w:sz w:val="24"/>
          <w:szCs w:val="24"/>
        </w:rPr>
      </w:pPr>
    </w:p>
    <w:p w:rsidR="000B3506" w:rsidRDefault="000B3506" w:rsidP="000B3506">
      <w:pPr>
        <w:pStyle w:val="NoSpacing"/>
        <w:jc w:val="both"/>
        <w:rPr>
          <w:rFonts w:ascii="Times New Roman" w:hAnsi="Times New Roman" w:cs="Times New Roman"/>
          <w:b/>
          <w:sz w:val="24"/>
          <w:szCs w:val="24"/>
        </w:rPr>
      </w:pPr>
    </w:p>
    <w:p w:rsidR="000B3506" w:rsidRDefault="000B3506" w:rsidP="000B3506">
      <w:pPr>
        <w:pStyle w:val="NoSpacing"/>
        <w:jc w:val="both"/>
        <w:rPr>
          <w:rFonts w:ascii="Times New Roman" w:hAnsi="Times New Roman" w:cs="Times New Roman"/>
          <w:b/>
          <w:sz w:val="24"/>
          <w:szCs w:val="24"/>
        </w:rPr>
      </w:pPr>
    </w:p>
    <w:p w:rsidR="000B3506" w:rsidRDefault="000B3506" w:rsidP="000B3506">
      <w:pPr>
        <w:pStyle w:val="NoSpacing"/>
        <w:jc w:val="both"/>
        <w:rPr>
          <w:rFonts w:ascii="Times New Roman" w:hAnsi="Times New Roman" w:cs="Times New Roman"/>
          <w:b/>
          <w:sz w:val="24"/>
          <w:szCs w:val="24"/>
        </w:rPr>
      </w:pPr>
    </w:p>
    <w:p w:rsidR="000B3506" w:rsidRDefault="000B3506" w:rsidP="000B3506">
      <w:pPr>
        <w:pStyle w:val="NoSpacing"/>
        <w:jc w:val="both"/>
        <w:rPr>
          <w:rFonts w:ascii="Times New Roman" w:hAnsi="Times New Roman" w:cs="Times New Roman"/>
          <w:b/>
          <w:sz w:val="24"/>
          <w:szCs w:val="24"/>
        </w:rPr>
      </w:pPr>
    </w:p>
    <w:p w:rsidR="000B3506" w:rsidRDefault="006A5A29" w:rsidP="000B3506">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RAPORT DE SPECIALITATE </w:t>
      </w:r>
    </w:p>
    <w:p w:rsidR="006A5A29" w:rsidRDefault="006A5A29" w:rsidP="006A5A29">
      <w:pPr>
        <w:pStyle w:val="NoSpacing"/>
        <w:jc w:val="both"/>
        <w:rPr>
          <w:rFonts w:ascii="Times New Roman" w:hAnsi="Times New Roman" w:cs="Times New Roman"/>
          <w:b/>
          <w:sz w:val="24"/>
          <w:szCs w:val="24"/>
        </w:rPr>
      </w:pPr>
      <w:r>
        <w:rPr>
          <w:rFonts w:ascii="Times New Roman" w:hAnsi="Times New Roman" w:cs="Times New Roman"/>
          <w:b/>
          <w:sz w:val="24"/>
          <w:szCs w:val="24"/>
        </w:rPr>
        <w:t>privind trecerea din domeniul public al municipiului Timişoara, în domeniul privat al municipiului Timişoara a terenului în suprafaţă de 681 mp, aferent imobilului cu destinaţia de locuinţă, situat înTimişoara str. Popa Şapcă, nr.28, înscris în CF 428582 Timişoara, nr. topografic 912</w:t>
      </w:r>
    </w:p>
    <w:p w:rsidR="006A5A29" w:rsidRDefault="006A5A29" w:rsidP="000B3506">
      <w:pPr>
        <w:pStyle w:val="NoSpacing"/>
        <w:jc w:val="center"/>
        <w:rPr>
          <w:rFonts w:ascii="Times New Roman" w:hAnsi="Times New Roman" w:cs="Times New Roman"/>
          <w:b/>
          <w:sz w:val="24"/>
          <w:szCs w:val="24"/>
          <w:lang w:val="en-US"/>
        </w:rPr>
      </w:pPr>
    </w:p>
    <w:p w:rsidR="000B3506" w:rsidRDefault="000B3506" w:rsidP="000B3506">
      <w:pPr>
        <w:pStyle w:val="NoSpacing"/>
        <w:jc w:val="center"/>
        <w:rPr>
          <w:rFonts w:ascii="Times New Roman" w:hAnsi="Times New Roman" w:cs="Times New Roman"/>
          <w:b/>
          <w:sz w:val="24"/>
          <w:szCs w:val="24"/>
        </w:rPr>
      </w:pPr>
    </w:p>
    <w:p w:rsidR="000B3506" w:rsidRDefault="000B3506" w:rsidP="000B3506">
      <w:pPr>
        <w:pStyle w:val="NoSpacing"/>
        <w:jc w:val="both"/>
        <w:rPr>
          <w:rFonts w:ascii="Times New Roman" w:hAnsi="Times New Roman" w:cs="Times New Roman"/>
          <w:b/>
          <w:sz w:val="24"/>
          <w:szCs w:val="24"/>
        </w:rPr>
      </w:pPr>
    </w:p>
    <w:p w:rsidR="005C250B" w:rsidRDefault="005C250B" w:rsidP="000B3506">
      <w:pPr>
        <w:pStyle w:val="NoSpacing"/>
        <w:jc w:val="both"/>
        <w:rPr>
          <w:rFonts w:ascii="Times New Roman" w:hAnsi="Times New Roman" w:cs="Times New Roman"/>
          <w:sz w:val="24"/>
          <w:szCs w:val="24"/>
        </w:rPr>
      </w:pPr>
      <w:r>
        <w:rPr>
          <w:rFonts w:ascii="Times New Roman" w:hAnsi="Times New Roman" w:cs="Times New Roman"/>
          <w:sz w:val="24"/>
          <w:szCs w:val="24"/>
        </w:rPr>
        <w:t xml:space="preserve">          Având în vedere adresa nr. CT2021-000120 din 14.01.2021 prin care domnul Paţachia Adrian şi doamna Paţachia Ana, proprietari ai imobilului-construcţie </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în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baza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Legii</w:t>
      </w:r>
      <w:proofErr w:type="spellEnd"/>
      <w:r>
        <w:rPr>
          <w:rFonts w:ascii="Times New Roman" w:hAnsi="Times New Roman" w:cs="Times New Roman"/>
          <w:sz w:val="24"/>
          <w:szCs w:val="24"/>
          <w:lang w:val="en-US"/>
        </w:rPr>
        <w:t xml:space="preserve"> 112)</w:t>
      </w:r>
      <w:r>
        <w:rPr>
          <w:rFonts w:ascii="Times New Roman" w:hAnsi="Times New Roman" w:cs="Times New Roman"/>
          <w:sz w:val="24"/>
          <w:szCs w:val="24"/>
        </w:rPr>
        <w:t xml:space="preserve"> situat în Timişoara, str. Popa Şapcă, nr.28, înscris în C.F. nr.428582 Timişoara (CF vechi: 495), nr.top 912  au solicitat trecerea terenului aferent construcţiei, din domeniul public al municipiului Timişoara în domeniul privat al municipiului Tim</w:t>
      </w:r>
      <w:r w:rsidR="007D5D9D">
        <w:rPr>
          <w:rFonts w:ascii="Times New Roman" w:hAnsi="Times New Roman" w:cs="Times New Roman"/>
          <w:sz w:val="24"/>
          <w:szCs w:val="24"/>
        </w:rPr>
        <w:t>işoara.</w:t>
      </w:r>
      <w:r>
        <w:rPr>
          <w:rFonts w:ascii="Times New Roman" w:hAnsi="Times New Roman" w:cs="Times New Roman"/>
          <w:sz w:val="24"/>
          <w:szCs w:val="24"/>
        </w:rPr>
        <w:t xml:space="preserve"> Terenul este inclus în domeniul public al municipiului Timişoara, conform înscrisului în Cartea Funciară nr.</w:t>
      </w:r>
      <w:r>
        <w:rPr>
          <w:rFonts w:ascii="Times New Roman" w:hAnsi="Times New Roman" w:cs="Times New Roman"/>
          <w:b/>
          <w:sz w:val="24"/>
          <w:szCs w:val="24"/>
        </w:rPr>
        <w:t xml:space="preserve"> </w:t>
      </w:r>
      <w:r>
        <w:rPr>
          <w:rFonts w:ascii="Times New Roman" w:hAnsi="Times New Roman" w:cs="Times New Roman"/>
          <w:sz w:val="24"/>
          <w:szCs w:val="24"/>
        </w:rPr>
        <w:t>428582 - Timişoara (CF vechi: 495), nr.top 912.</w:t>
      </w:r>
    </w:p>
    <w:p w:rsidR="000B3506" w:rsidRDefault="000B3506" w:rsidP="000B3506">
      <w:pPr>
        <w:pStyle w:val="NoSpacing"/>
        <w:jc w:val="both"/>
        <w:rPr>
          <w:rFonts w:ascii="Times New Roman" w:hAnsi="Times New Roman" w:cs="Times New Roman"/>
          <w:b/>
          <w:sz w:val="24"/>
          <w:szCs w:val="24"/>
        </w:rPr>
      </w:pPr>
      <w:r>
        <w:rPr>
          <w:rFonts w:ascii="Times New Roman" w:hAnsi="Times New Roman" w:cs="Times New Roman"/>
          <w:sz w:val="24"/>
          <w:szCs w:val="24"/>
        </w:rPr>
        <w:t xml:space="preserve">          Având în vedere adresa </w:t>
      </w:r>
      <w:r>
        <w:rPr>
          <w:rFonts w:ascii="Times New Roman" w:hAnsi="Times New Roman" w:cs="Times New Roman"/>
        </w:rPr>
        <w:t>CT2021-000120/</w:t>
      </w:r>
      <w:r w:rsidR="00AD6971">
        <w:rPr>
          <w:rFonts w:ascii="Times New Roman" w:hAnsi="Times New Roman" w:cs="Times New Roman"/>
        </w:rPr>
        <w:t xml:space="preserve"> 25.01.2021 </w:t>
      </w:r>
      <w:r>
        <w:rPr>
          <w:rFonts w:ascii="Times New Roman" w:hAnsi="Times New Roman" w:cs="Times New Roman"/>
          <w:sz w:val="24"/>
          <w:szCs w:val="24"/>
        </w:rPr>
        <w:t xml:space="preserve"> a Serviciului Juridic, prin care ne informează că, pentru imobilul situat în Timişoara str. Popa Şapcă nr.28, nu figurează litigii pe rolul instanţelor de judecată.</w:t>
      </w:r>
    </w:p>
    <w:p w:rsidR="000B3506" w:rsidRDefault="000B3506" w:rsidP="000B3506">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Având în vedere adresa </w:t>
      </w:r>
      <w:r>
        <w:rPr>
          <w:rFonts w:ascii="Times New Roman" w:hAnsi="Times New Roman" w:cs="Times New Roman"/>
        </w:rPr>
        <w:t>CT2021-000120/</w:t>
      </w:r>
      <w:r w:rsidR="00B12059">
        <w:rPr>
          <w:rFonts w:ascii="Times New Roman" w:hAnsi="Times New Roman" w:cs="Times New Roman"/>
        </w:rPr>
        <w:t>01.02.</w:t>
      </w:r>
      <w:r>
        <w:rPr>
          <w:rFonts w:ascii="Times New Roman" w:hAnsi="Times New Roman" w:cs="Times New Roman"/>
        </w:rPr>
        <w:t>2021</w:t>
      </w:r>
      <w:r>
        <w:rPr>
          <w:rFonts w:ascii="Times New Roman" w:hAnsi="Times New Roman" w:cs="Times New Roman"/>
          <w:sz w:val="24"/>
          <w:szCs w:val="24"/>
        </w:rPr>
        <w:t>, a Serviciului Administrare Fond Funciar, prin care ne informează că imobilul menţionat mai sus nu figurează a fi solicitat de către foştii proprietari sau moştenitorii acestora.</w:t>
      </w:r>
    </w:p>
    <w:p w:rsidR="000B3506" w:rsidRPr="009F46B7" w:rsidRDefault="000B3506" w:rsidP="000B3506">
      <w:pPr>
        <w:pStyle w:val="NoSpacing"/>
        <w:jc w:val="both"/>
        <w:rPr>
          <w:rFonts w:ascii="Times New Roman" w:hAnsi="Times New Roman" w:cs="Times New Roman"/>
          <w:sz w:val="24"/>
          <w:szCs w:val="24"/>
          <w:lang w:val="en-US"/>
        </w:rPr>
      </w:pPr>
      <w:r>
        <w:t xml:space="preserve">     </w:t>
      </w:r>
      <w:r>
        <w:rPr>
          <w:rFonts w:ascii="CIDFont+F1" w:hAnsi="CIDFont+F1" w:cs="CIDFont+F1"/>
          <w:sz w:val="23"/>
          <w:szCs w:val="23"/>
        </w:rPr>
        <w:t xml:space="preserve">     </w:t>
      </w:r>
      <w:r>
        <w:rPr>
          <w:rFonts w:ascii="Times New Roman" w:hAnsi="Times New Roman" w:cs="Times New Roman"/>
          <w:sz w:val="24"/>
          <w:szCs w:val="24"/>
        </w:rPr>
        <w:t>Conform prevederilor Ordonan</w:t>
      </w:r>
      <w:r>
        <w:rPr>
          <w:rFonts w:ascii="Times New Roman" w:hAnsi="Cambria Math" w:cs="Times New Roman"/>
          <w:sz w:val="24"/>
          <w:szCs w:val="24"/>
        </w:rPr>
        <w:t>ț</w:t>
      </w:r>
      <w:r>
        <w:rPr>
          <w:rFonts w:ascii="Times New Roman" w:hAnsi="Times New Roman" w:cs="Times New Roman"/>
          <w:sz w:val="24"/>
          <w:szCs w:val="24"/>
        </w:rPr>
        <w:t>ei de Urgen</w:t>
      </w:r>
      <w:r>
        <w:rPr>
          <w:rFonts w:ascii="Times New Roman" w:hAnsi="Cambria Math" w:cs="Times New Roman"/>
          <w:sz w:val="24"/>
          <w:szCs w:val="24"/>
        </w:rPr>
        <w:t>ț</w:t>
      </w:r>
      <w:r>
        <w:rPr>
          <w:rFonts w:ascii="Times New Roman" w:hAnsi="Times New Roman" w:cs="Times New Roman"/>
          <w:sz w:val="24"/>
          <w:szCs w:val="24"/>
        </w:rPr>
        <w:t>ă nr.57/2019 privind codul Ad</w:t>
      </w:r>
      <w:r w:rsidR="009F46B7">
        <w:rPr>
          <w:rFonts w:ascii="Times New Roman" w:hAnsi="Times New Roman" w:cs="Times New Roman"/>
          <w:sz w:val="24"/>
          <w:szCs w:val="24"/>
        </w:rPr>
        <w:t>ministrativ, art.361,alin.(2) ”</w:t>
      </w:r>
      <w:r>
        <w:rPr>
          <w:rFonts w:ascii="Times New Roman" w:hAnsi="Times New Roman" w:cs="Times New Roman"/>
          <w:sz w:val="24"/>
          <w:szCs w:val="24"/>
        </w:rPr>
        <w:t>Trecerea unui bun din domeniul public al unei unităţi administrativ-teritoriale în domeniul privat al acesteia se face prin hotărâre a consiliului judeţean, respectiv a Consiliului General al Municipiului Bucureşti ori a consiliului local al comunei, al oraşului sau al municipiului, după caz,</w:t>
      </w:r>
      <w:r w:rsidR="009F46B7">
        <w:rPr>
          <w:rFonts w:ascii="Times New Roman" w:hAnsi="Times New Roman" w:cs="Times New Roman"/>
          <w:sz w:val="24"/>
          <w:szCs w:val="24"/>
          <w:lang w:val="en-US"/>
        </w:rPr>
        <w:t xml:space="preserve"> </w:t>
      </w:r>
      <w:r>
        <w:rPr>
          <w:rFonts w:ascii="Times New Roman" w:hAnsi="Times New Roman" w:cs="Times New Roman"/>
          <w:sz w:val="24"/>
          <w:szCs w:val="24"/>
        </w:rPr>
        <w:t xml:space="preserve">dacă prin lege nu se dispune altfel.” </w:t>
      </w:r>
    </w:p>
    <w:p w:rsidR="000B3506" w:rsidRPr="009F46B7" w:rsidRDefault="000B3506" w:rsidP="009F46B7">
      <w:pPr>
        <w:autoSpaceDE w:val="0"/>
        <w:autoSpaceDN w:val="0"/>
        <w:adjustRightInd w:val="0"/>
        <w:jc w:val="both"/>
        <w:rPr>
          <w:lang w:val="en-US"/>
        </w:rPr>
      </w:pPr>
      <w:r>
        <w:t xml:space="preserve">          De asemenea, conform Ordonan</w:t>
      </w:r>
      <w:r>
        <w:rPr>
          <w:rFonts w:hAnsi="Cambria Math"/>
        </w:rPr>
        <w:t>ț</w:t>
      </w:r>
      <w:r>
        <w:t>ei de Urgen</w:t>
      </w:r>
      <w:r>
        <w:rPr>
          <w:rFonts w:hAnsi="Cambria Math"/>
        </w:rPr>
        <w:t>ț</w:t>
      </w:r>
      <w:r>
        <w:t>ă nr.57/2019, art.286, alin. (4) ”Domeniul public</w:t>
      </w:r>
      <w:r w:rsidR="009F46B7">
        <w:rPr>
          <w:lang w:val="en-US"/>
        </w:rPr>
        <w:t xml:space="preserve"> </w:t>
      </w:r>
      <w:r>
        <w:t>al comunei, al oraşului sau al municipiului este alcătuit din bunurile prevăzute în anexa nr. 4, precum</w:t>
      </w:r>
      <w:r w:rsidR="009F46B7">
        <w:rPr>
          <w:lang w:val="en-US"/>
        </w:rPr>
        <w:t xml:space="preserve"> </w:t>
      </w:r>
      <w:r>
        <w:t xml:space="preserve">şi din alte bunuri de uz sau de interes public local, declarate ca atare prin </w:t>
      </w:r>
      <w:r>
        <w:lastRenderedPageBreak/>
        <w:t>hotărâre a consiliului local,</w:t>
      </w:r>
      <w:r w:rsidR="009F46B7">
        <w:t xml:space="preserve"> </w:t>
      </w:r>
      <w:r>
        <w:t xml:space="preserve">dacă nu sunt declarate prin lege ca fiind bunuri de uz sau de interes public naţional ori judeţean”.     </w:t>
      </w:r>
    </w:p>
    <w:p w:rsidR="000B3506" w:rsidRDefault="000B3506" w:rsidP="000B3506">
      <w:pPr>
        <w:pStyle w:val="NoSpacing"/>
        <w:jc w:val="both"/>
        <w:rPr>
          <w:rFonts w:ascii="Times New Roman" w:hAnsi="Times New Roman" w:cs="Times New Roman"/>
          <w:sz w:val="24"/>
          <w:szCs w:val="24"/>
        </w:rPr>
      </w:pPr>
      <w:r>
        <w:rPr>
          <w:rFonts w:ascii="Times New Roman" w:hAnsi="Times New Roman" w:cs="Times New Roman"/>
          <w:sz w:val="24"/>
          <w:szCs w:val="24"/>
        </w:rPr>
        <w:t xml:space="preserve">           În evidenţa Direcţiei Clădiri, Terenuri şi Dotări Diverse I Est, la data prezentei, imobilul respectiv, nu apare notificat în baza Legii nr.10/2001 şi nici în baza O.U.G. nr.94/2000-privind retrocedarea unor imobile care au aparţinut unor culte religioase din România.</w:t>
      </w:r>
    </w:p>
    <w:p w:rsidR="000B3506" w:rsidRDefault="000B3506" w:rsidP="000B3506">
      <w:pPr>
        <w:autoSpaceDE w:val="0"/>
        <w:autoSpaceDN w:val="0"/>
        <w:adjustRightInd w:val="0"/>
        <w:jc w:val="both"/>
      </w:pPr>
      <w:r>
        <w:t xml:space="preserve">          Raportat la anexa 4 din Ordonanţa de Urgenţă 57/2019 privind Codul Administrativ, privind bunurile de uz sau interes public din care rezultă că terenul menţionat nu se încadrează în aceasta şi coroborat cu faptul că pe terenul înscris în CF 428582-Timişoara (CF vechi 495), nr.topo.912 se află o clădire pe parter,  proprietate privată cu destinaţie de locuinţă iar terenul aferent clădirii este împrejmuit şi nu prezintă interes public, constituind curtea imobilului din str.</w:t>
      </w:r>
      <w:r>
        <w:rPr>
          <w:b/>
        </w:rPr>
        <w:t xml:space="preserve"> </w:t>
      </w:r>
      <w:r>
        <w:t xml:space="preserve">Popa Şapcă nr.28, pe acest teren neavând acces decât proprietarii clădirii, rezultă fără echivoc că terenul în speţă nu este de natura domeniului public, respectiv de uz sau de interes public local. Mai mult decât atât, prin trecerea acestui imobil-teren din domeniul public al Municipiului Timişoara în domeniul privat al Municipiului Timişoara s-ar realiza o mai bună administrare a imobilului, acesta putând fi concesionat. </w:t>
      </w:r>
    </w:p>
    <w:p w:rsidR="000B3506" w:rsidRDefault="000B3506" w:rsidP="000B3506">
      <w:pPr>
        <w:ind w:firstLine="720"/>
        <w:jc w:val="both"/>
        <w:rPr>
          <w:i/>
          <w:lang w:val="en-US"/>
        </w:rPr>
      </w:pPr>
      <w:r>
        <w:t xml:space="preserve">Având în vedere Hotarârea nr. 2393/13.12.2018 a Curţii de Apel Timiş, definitivă, prin care s-a dispus anularea parţială a Deciziei nr. 30/01.08.2016 emisă de Camera de Conturi a Jud. Timiş, în ceea ce priveşte obligaţiile instituite în cadrul măsurii de la pct.1.3 din partea dispozitivă, corespunzătoare abaterii descrise la pct.3 din partea constatativă, de </w:t>
      </w:r>
      <w:r>
        <w:rPr>
          <w:i/>
        </w:rPr>
        <w:t>“readucere la starea iniţială a terenurilor ce fac obiectul Legii nr.112/1995 adică proprietatea privată a Statului Român - ce au fost mutate în patrimoniul public/privat al municipiului fără un drept real al municipalităţii, diminuând nejustificat patrimoniul Statului Român pe acest segment de proprietăţi cu impact negativ asupra fondului extrabugetar destinat plăţii despăgubirilor şi de interzicere a iniţierii acţiunilor prin care se solicită emiterea de hotărâri de către legislativul municipalităţii având ca obiect această practică”.</w:t>
      </w:r>
    </w:p>
    <w:p w:rsidR="000B3506" w:rsidRDefault="000B3506" w:rsidP="000B3506">
      <w:pPr>
        <w:jc w:val="both"/>
        <w:rPr>
          <w:color w:val="000000"/>
          <w:shd w:val="clear" w:color="auto" w:fill="FFFFFF"/>
        </w:rPr>
      </w:pPr>
      <w:r>
        <w:t xml:space="preserve">          Având în vedere </w:t>
      </w:r>
      <w:r>
        <w:rPr>
          <w:bCs/>
        </w:rPr>
        <w:t>Decizia nr. 3 din 30 ianuarie 2017</w:t>
      </w:r>
      <w:r>
        <w:t xml:space="preserve"> a Înaltei Curţi de Casaţie şi Justiţ CFie </w:t>
      </w:r>
      <w:r>
        <w:rPr>
          <w:bCs/>
        </w:rPr>
        <w:t xml:space="preserve">referitoare la interpretarea şi aplicarea dispoziţiilor </w:t>
      </w:r>
      <w:r>
        <w:rPr>
          <w:u w:val="single"/>
        </w:rPr>
        <w:t>art. 3</w:t>
      </w:r>
      <w:r>
        <w:rPr>
          <w:bCs/>
        </w:rPr>
        <w:t xml:space="preserve">, </w:t>
      </w:r>
      <w:r>
        <w:rPr>
          <w:u w:val="single"/>
        </w:rPr>
        <w:t>art. 9</w:t>
      </w:r>
      <w:r>
        <w:rPr>
          <w:bCs/>
        </w:rPr>
        <w:t xml:space="preserve">, </w:t>
      </w:r>
      <w:r>
        <w:rPr>
          <w:u w:val="single"/>
        </w:rPr>
        <w:t>art. 26 alin. (3) din Legea nr. 112/1995</w:t>
      </w:r>
      <w:r>
        <w:rPr>
          <w:bCs/>
        </w:rPr>
        <w:t xml:space="preserve"> pentru reglementarea situaţiei juridice a unor imobile cu destinaţia de locuinţe, trecute în proprietatea statului, cu modificările ulterioare care a decis “</w:t>
      </w:r>
      <w:r>
        <w:rPr>
          <w:rStyle w:val="spar3"/>
          <w:i/>
        </w:rPr>
        <w:t xml:space="preserve">În interpretarea şi aplicarea dispoziţiilor </w:t>
      </w:r>
      <w:r>
        <w:rPr>
          <w:rStyle w:val="spar3"/>
          <w:i/>
          <w:u w:val="single"/>
        </w:rPr>
        <w:t>art. 3</w:t>
      </w:r>
      <w:r>
        <w:rPr>
          <w:rStyle w:val="spar3"/>
          <w:i/>
        </w:rPr>
        <w:t xml:space="preserve">, </w:t>
      </w:r>
      <w:r>
        <w:rPr>
          <w:rStyle w:val="spar3"/>
          <w:i/>
          <w:u w:val="single"/>
        </w:rPr>
        <w:t>art. 9</w:t>
      </w:r>
      <w:r>
        <w:rPr>
          <w:rStyle w:val="spar3"/>
          <w:i/>
        </w:rPr>
        <w:t xml:space="preserve">, </w:t>
      </w:r>
      <w:r>
        <w:rPr>
          <w:rStyle w:val="spar3"/>
          <w:i/>
          <w:u w:val="single"/>
        </w:rPr>
        <w:t>art. 26 alin. (3) din Legea nr. 112/1995</w:t>
      </w:r>
      <w:r>
        <w:rPr>
          <w:rStyle w:val="spar3"/>
          <w:i/>
        </w:rPr>
        <w:t xml:space="preserve"> pentru reglementarea situaţiei juridice a unor imobile cu destinaţia de locuinţe, trecute în proprietatea statului, cu modificările ulterioare, coroborate cu </w:t>
      </w:r>
      <w:r>
        <w:rPr>
          <w:rStyle w:val="spar3"/>
          <w:i/>
          <w:u w:val="single"/>
        </w:rPr>
        <w:t>art. 37 din Normele metodologice</w:t>
      </w:r>
      <w:r>
        <w:rPr>
          <w:rStyle w:val="spar3"/>
          <w:i/>
        </w:rPr>
        <w:t xml:space="preserve"> privind aplicarea </w:t>
      </w:r>
      <w:r>
        <w:rPr>
          <w:rStyle w:val="spar3"/>
          <w:i/>
          <w:u w:val="single"/>
        </w:rPr>
        <w:t>Legii nr. 112/1995</w:t>
      </w:r>
      <w:r>
        <w:rPr>
          <w:rStyle w:val="spar3"/>
          <w:i/>
        </w:rPr>
        <w:t xml:space="preserve"> pentru reglementarea situaţiei juridice a unor imobile cu destinaţia de locuinţe, trecute în proprietatea statului, stabilite prin Hotărârea Guvernului nr. 20/1996, republicate, stabileşte că proprietarul construcţiei are dreptul să dobândească proprietatea şi asupra terenului aferent acesteia şi să solicite, în caz de refuz, pe calea acţiunii în justiţie, obligarea la perfectarea contractului de vânzare-cumpărare.Obligatorie, potrivit dispoziţiilor art. 521 alin. (3) din Codul de procedură civilă</w:t>
      </w:r>
      <w:r>
        <w:rPr>
          <w:rStyle w:val="spar3"/>
        </w:rPr>
        <w:t>.”</w:t>
      </w:r>
    </w:p>
    <w:p w:rsidR="000B3506" w:rsidRDefault="000B3506" w:rsidP="000B3506">
      <w:pPr>
        <w:autoSpaceDE w:val="0"/>
        <w:autoSpaceDN w:val="0"/>
        <w:adjustRightInd w:val="0"/>
        <w:jc w:val="both"/>
        <w:rPr>
          <w:rFonts w:eastAsiaTheme="minorHAnsi"/>
        </w:rPr>
      </w:pPr>
      <w:r>
        <w:t xml:space="preserve">          Având în vedere cele enumerate mai sus, propunem spre analiza Comisiilor d</w:t>
      </w:r>
      <w:r w:rsidR="00477572">
        <w:t>in cadrul Consiliului Local al m</w:t>
      </w:r>
      <w:r>
        <w:t>unicipiului Timişoara proiectul privind aprobarea trecerii din domeniul public al municipiului Timi</w:t>
      </w:r>
      <w:r>
        <w:rPr>
          <w:rFonts w:hAnsi="Cambria Math"/>
        </w:rPr>
        <w:t>ș</w:t>
      </w:r>
      <w:r>
        <w:t>oara în domeniul privat al municipiului Timi</w:t>
      </w:r>
      <w:r>
        <w:rPr>
          <w:rFonts w:hAnsi="Cambria Math"/>
        </w:rPr>
        <w:t>ș</w:t>
      </w:r>
      <w:r>
        <w:t>oara a terenului situat în str. Popa Şapcă  nr.28 înscris în CF 428582 Timişoara, nr. topografic 912, în suprafa</w:t>
      </w:r>
      <w:r>
        <w:rPr>
          <w:rFonts w:hAnsi="Cambria Math"/>
        </w:rPr>
        <w:t>ț</w:t>
      </w:r>
      <w:r>
        <w:t>a de 681 mp.</w:t>
      </w:r>
    </w:p>
    <w:p w:rsidR="000B3506" w:rsidRDefault="000B3506" w:rsidP="000B3506">
      <w:pPr>
        <w:autoSpaceDE w:val="0"/>
        <w:autoSpaceDN w:val="0"/>
        <w:adjustRightInd w:val="0"/>
        <w:jc w:val="both"/>
        <w:rPr>
          <w:lang w:val="en-US"/>
        </w:rPr>
      </w:pPr>
      <w:r>
        <w:lastRenderedPageBreak/>
        <w:t xml:space="preserve">        Având în vedere prevederile legale expuse în prezentul raport, apreciem că proiectul de hotărâre menţionat mai sus îndepline</w:t>
      </w:r>
      <w:r>
        <w:rPr>
          <w:rFonts w:hAnsi="Cambria Math"/>
        </w:rPr>
        <w:t>ș</w:t>
      </w:r>
      <w:r>
        <w:t>te condi</w:t>
      </w:r>
      <w:r>
        <w:rPr>
          <w:rFonts w:hAnsi="Cambria Math"/>
        </w:rPr>
        <w:t>ț</w:t>
      </w:r>
      <w:r>
        <w:t xml:space="preserve">iile pentru a fi supus dezbaterii </w:t>
      </w:r>
      <w:r>
        <w:rPr>
          <w:rFonts w:hAnsi="Cambria Math"/>
        </w:rPr>
        <w:t>ș</w:t>
      </w:r>
      <w:r w:rsidR="00477572">
        <w:t>i aprobării în plenul Consiliului L</w:t>
      </w:r>
      <w:r>
        <w:t>ocal.</w:t>
      </w:r>
    </w:p>
    <w:p w:rsidR="000B3506" w:rsidRDefault="000B3506" w:rsidP="000B3506">
      <w:pPr>
        <w:pStyle w:val="NoSpacing"/>
        <w:jc w:val="both"/>
        <w:rPr>
          <w:rFonts w:ascii="Times New Roman" w:hAnsi="Times New Roman" w:cs="Times New Roman"/>
          <w:sz w:val="24"/>
          <w:szCs w:val="24"/>
        </w:rPr>
      </w:pPr>
    </w:p>
    <w:p w:rsidR="00C61EDB" w:rsidRDefault="00C61EDB" w:rsidP="00502DBC">
      <w:pPr>
        <w:jc w:val="both"/>
        <w:rPr>
          <w:sz w:val="28"/>
          <w:szCs w:val="28"/>
        </w:rPr>
      </w:pPr>
    </w:p>
    <w:p w:rsidR="000B3506" w:rsidRDefault="000B3506" w:rsidP="00502DBC">
      <w:pPr>
        <w:jc w:val="both"/>
        <w:rPr>
          <w:sz w:val="28"/>
          <w:szCs w:val="28"/>
        </w:rPr>
      </w:pPr>
    </w:p>
    <w:p w:rsidR="000B3506" w:rsidRDefault="000B3506" w:rsidP="000B3506">
      <w:pPr>
        <w:pStyle w:val="NoSpacing"/>
        <w:jc w:val="both"/>
        <w:rPr>
          <w:rFonts w:ascii="Times New Roman" w:hAnsi="Times New Roman" w:cs="Times New Roman"/>
          <w:sz w:val="24"/>
          <w:szCs w:val="24"/>
        </w:rPr>
      </w:pPr>
    </w:p>
    <w:p w:rsidR="000B3506" w:rsidRDefault="000B3506" w:rsidP="000B3506">
      <w:pPr>
        <w:pStyle w:val="NoSpacing"/>
        <w:jc w:val="both"/>
        <w:rPr>
          <w:rFonts w:ascii="Times New Roman" w:hAnsi="Times New Roman" w:cs="Times New Roman"/>
          <w:sz w:val="24"/>
          <w:szCs w:val="24"/>
        </w:rPr>
      </w:pPr>
      <w:r>
        <w:rPr>
          <w:rFonts w:ascii="Times New Roman" w:hAnsi="Times New Roman" w:cs="Times New Roman"/>
          <w:sz w:val="24"/>
          <w:szCs w:val="24"/>
        </w:rPr>
        <w:t xml:space="preserve">  DIRECTOR,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ŞEF BIROU,</w:t>
      </w:r>
    </w:p>
    <w:p w:rsidR="000B3506" w:rsidRDefault="000B3506" w:rsidP="000B3506">
      <w:pPr>
        <w:pStyle w:val="NoSpacing"/>
        <w:jc w:val="both"/>
        <w:rPr>
          <w:rFonts w:ascii="Times New Roman" w:hAnsi="Times New Roman" w:cs="Times New Roman"/>
          <w:sz w:val="24"/>
          <w:szCs w:val="24"/>
        </w:rPr>
      </w:pPr>
      <w:r>
        <w:rPr>
          <w:rFonts w:ascii="Times New Roman" w:hAnsi="Times New Roman" w:cs="Times New Roman"/>
          <w:sz w:val="24"/>
          <w:szCs w:val="24"/>
        </w:rPr>
        <w:t>FLORIN RĂVĂŞILĂ</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CĂLIN N. PÎRVA</w:t>
      </w:r>
    </w:p>
    <w:p w:rsidR="000B3506" w:rsidRDefault="000B3506" w:rsidP="000B3506">
      <w:pPr>
        <w:pStyle w:val="NoSpacing"/>
        <w:jc w:val="both"/>
        <w:rPr>
          <w:rFonts w:ascii="Times New Roman" w:hAnsi="Times New Roman" w:cs="Times New Roman"/>
          <w:sz w:val="24"/>
          <w:szCs w:val="24"/>
        </w:rPr>
      </w:pPr>
    </w:p>
    <w:p w:rsidR="000B3506" w:rsidRDefault="000B3506" w:rsidP="000B3506">
      <w:pPr>
        <w:pStyle w:val="NoSpacing"/>
        <w:jc w:val="both"/>
        <w:rPr>
          <w:rFonts w:ascii="Times New Roman" w:hAnsi="Times New Roman" w:cs="Times New Roman"/>
          <w:sz w:val="24"/>
          <w:szCs w:val="24"/>
        </w:rPr>
      </w:pPr>
    </w:p>
    <w:p w:rsidR="000B3506" w:rsidRDefault="000B3506" w:rsidP="000B3506">
      <w:pPr>
        <w:pStyle w:val="NoSpacing"/>
        <w:jc w:val="both"/>
        <w:rPr>
          <w:rFonts w:ascii="Times New Roman" w:hAnsi="Times New Roman" w:cs="Times New Roman"/>
          <w:sz w:val="24"/>
          <w:szCs w:val="24"/>
        </w:rPr>
      </w:pPr>
    </w:p>
    <w:p w:rsidR="000B3506" w:rsidRDefault="000B3506" w:rsidP="000B3506">
      <w:pPr>
        <w:pStyle w:val="NoSpacing"/>
        <w:jc w:val="both"/>
        <w:rPr>
          <w:rFonts w:ascii="Times New Roman" w:hAnsi="Times New Roman" w:cs="Times New Roman"/>
          <w:sz w:val="24"/>
          <w:szCs w:val="24"/>
        </w:rPr>
      </w:pPr>
    </w:p>
    <w:p w:rsidR="000B3506" w:rsidRDefault="000B3506" w:rsidP="000B3506">
      <w:pPr>
        <w:pStyle w:val="NoSpacing"/>
        <w:jc w:val="both"/>
        <w:rPr>
          <w:rFonts w:ascii="Times New Roman" w:hAnsi="Times New Roman" w:cs="Times New Roman"/>
          <w:sz w:val="24"/>
          <w:szCs w:val="24"/>
        </w:rPr>
      </w:pPr>
    </w:p>
    <w:p w:rsidR="000B3506" w:rsidRDefault="000B3506" w:rsidP="000B3506">
      <w:pPr>
        <w:pStyle w:val="NoSpacing"/>
        <w:jc w:val="both"/>
        <w:rPr>
          <w:rFonts w:ascii="Times New Roman" w:hAnsi="Times New Roman" w:cs="Times New Roman"/>
          <w:sz w:val="24"/>
          <w:szCs w:val="24"/>
        </w:rPr>
      </w:pPr>
    </w:p>
    <w:p w:rsidR="000B3506" w:rsidRDefault="000B3506" w:rsidP="000B3506">
      <w:pPr>
        <w:pStyle w:val="NoSpacing"/>
        <w:jc w:val="both"/>
        <w:rPr>
          <w:rFonts w:ascii="Times New Roman" w:hAnsi="Times New Roman" w:cs="Times New Roman"/>
          <w:sz w:val="24"/>
          <w:szCs w:val="24"/>
        </w:rPr>
      </w:pPr>
    </w:p>
    <w:p w:rsidR="000B3506" w:rsidRDefault="000B3506" w:rsidP="000B3506">
      <w:pPr>
        <w:pStyle w:val="NoSpacing"/>
        <w:jc w:val="both"/>
        <w:rPr>
          <w:rFonts w:ascii="Times New Roman" w:hAnsi="Times New Roman" w:cs="Times New Roman"/>
          <w:sz w:val="24"/>
          <w:szCs w:val="24"/>
        </w:rPr>
      </w:pPr>
    </w:p>
    <w:p w:rsidR="000B3506" w:rsidRDefault="000B3506" w:rsidP="000B3506">
      <w:pPr>
        <w:pStyle w:val="NoSpacing"/>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ÎNTOCMIT,</w:t>
      </w:r>
    </w:p>
    <w:p w:rsidR="000B3506" w:rsidRPr="00DE5843" w:rsidRDefault="000B3506" w:rsidP="000B3506">
      <w:pPr>
        <w:pStyle w:val="NoSpacing"/>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DORINA DELIA NICOARĂ</w:t>
      </w:r>
    </w:p>
    <w:p w:rsidR="000B3506" w:rsidRDefault="000B3506" w:rsidP="00502DBC">
      <w:pPr>
        <w:jc w:val="both"/>
        <w:rPr>
          <w:sz w:val="28"/>
          <w:szCs w:val="28"/>
        </w:rPr>
      </w:pPr>
    </w:p>
    <w:p w:rsidR="00502DBC" w:rsidRPr="00D21676" w:rsidRDefault="00502DBC" w:rsidP="00502DBC">
      <w:pPr>
        <w:jc w:val="both"/>
        <w:rPr>
          <w:sz w:val="28"/>
          <w:szCs w:val="28"/>
        </w:rPr>
      </w:pPr>
      <w:r w:rsidRPr="00D21676">
        <w:rPr>
          <w:sz w:val="28"/>
          <w:szCs w:val="28"/>
        </w:rPr>
        <w:tab/>
      </w:r>
    </w:p>
    <w:p w:rsidR="00552049" w:rsidRDefault="00552049" w:rsidP="00552049">
      <w:pPr>
        <w:autoSpaceDE w:val="0"/>
        <w:autoSpaceDN w:val="0"/>
        <w:adjustRightInd w:val="0"/>
        <w:ind w:firstLine="720"/>
        <w:jc w:val="both"/>
      </w:pPr>
    </w:p>
    <w:p w:rsidR="00552049" w:rsidRDefault="00552049" w:rsidP="00552049">
      <w:pPr>
        <w:autoSpaceDE w:val="0"/>
        <w:autoSpaceDN w:val="0"/>
        <w:adjustRightInd w:val="0"/>
        <w:ind w:firstLine="720"/>
        <w:jc w:val="both"/>
      </w:pPr>
    </w:p>
    <w:p w:rsidR="00494FB3" w:rsidRDefault="00494FB3" w:rsidP="00B54D34">
      <w:pPr>
        <w:tabs>
          <w:tab w:val="left" w:pos="1134"/>
        </w:tabs>
        <w:jc w:val="both"/>
      </w:pPr>
    </w:p>
    <w:p w:rsidR="00247804" w:rsidRPr="00494FB3" w:rsidRDefault="00247804" w:rsidP="00B54D34">
      <w:pPr>
        <w:tabs>
          <w:tab w:val="left" w:pos="1134"/>
        </w:tabs>
        <w:jc w:val="both"/>
      </w:pPr>
    </w:p>
    <w:sectPr w:rsidR="00247804" w:rsidRPr="00494FB3" w:rsidSect="001D6A7D">
      <w:footerReference w:type="default" r:id="rId9"/>
      <w:pgSz w:w="11906" w:h="16838"/>
      <w:pgMar w:top="1440" w:right="1440" w:bottom="1440" w:left="1440"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50C2" w:rsidRDefault="000450C2" w:rsidP="00851794">
      <w:r>
        <w:separator/>
      </w:r>
    </w:p>
  </w:endnote>
  <w:endnote w:type="continuationSeparator" w:id="0">
    <w:p w:rsidR="000450C2" w:rsidRDefault="000450C2"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Tahoma">
    <w:panose1 w:val="020B0604030504040204"/>
    <w:charset w:val="EE"/>
    <w:family w:val="swiss"/>
    <w:pitch w:val="variable"/>
    <w:sig w:usb0="61002A87" w:usb1="80000000" w:usb2="00000008" w:usb3="00000000" w:csb0="000101FF" w:csb1="00000000"/>
  </w:font>
  <w:font w:name="Verdana">
    <w:panose1 w:val="020B0604030504040204"/>
    <w:charset w:val="EE"/>
    <w:family w:val="swiss"/>
    <w:pitch w:val="variable"/>
    <w:sig w:usb0="20000287" w:usb1="00000000" w:usb2="00000000" w:usb3="00000000" w:csb0="0000019F" w:csb1="00000000"/>
  </w:font>
  <w:font w:name="CIDFont+F1">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A00002EF" w:usb1="420020E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794" w:rsidRDefault="00C65F00" w:rsidP="00851794">
    <w:pPr>
      <w:pStyle w:val="Footer"/>
      <w:jc w:val="center"/>
    </w:pPr>
    <w:r>
      <w:t xml:space="preserve">          </w:t>
    </w:r>
    <w:r w:rsidR="00866BB9">
      <w:t xml:space="preserve">       </w:t>
    </w:r>
    <w:r>
      <w:t xml:space="preserve">   </w:t>
    </w:r>
    <w:r w:rsidR="00FC5104">
      <w:rPr>
        <w:noProof/>
        <w:lang w:val="en-US" w:eastAsia="en-US"/>
      </w:rPr>
      <w:drawing>
        <wp:inline distT="0" distB="0" distL="0" distR="0">
          <wp:extent cx="1970405" cy="1393145"/>
          <wp:effectExtent l="19050" t="0" r="0" b="0"/>
          <wp:docPr id="1"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981630" cy="1401081"/>
                  </a:xfrm>
                  <a:prstGeom prst="rect">
                    <a:avLst/>
                  </a:prstGeom>
                  <a:noFill/>
                  <a:ln w="9525">
                    <a:noFill/>
                    <a:miter lim="800000"/>
                    <a:headEnd/>
                    <a:tailEnd/>
                  </a:ln>
                </pic:spPr>
              </pic:pic>
            </a:graphicData>
          </a:graphic>
        </wp:inline>
      </w:drawing>
    </w:r>
  </w:p>
  <w:p w:rsidR="00851794" w:rsidRDefault="008517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50C2" w:rsidRDefault="000450C2" w:rsidP="00851794">
      <w:r>
        <w:separator/>
      </w:r>
    </w:p>
  </w:footnote>
  <w:footnote w:type="continuationSeparator" w:id="0">
    <w:p w:rsidR="000450C2" w:rsidRDefault="000450C2"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B65A8E"/>
    <w:multiLevelType w:val="hybridMultilevel"/>
    <w:tmpl w:val="D0A4C0F8"/>
    <w:lvl w:ilvl="0" w:tplc="D7A2EB4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A473AFE"/>
    <w:multiLevelType w:val="hybridMultilevel"/>
    <w:tmpl w:val="E412019A"/>
    <w:lvl w:ilvl="0" w:tplc="BFCA4B0E">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20"/>
  <w:displayHorizontalDrawingGridEvery w:val="2"/>
  <w:noPunctuationKerning/>
  <w:characterSpacingControl w:val="doNotCompress"/>
  <w:hdrShapeDefaults>
    <o:shapedefaults v:ext="edit" spidmax="131074" fill="f" fillcolor="white" stroke="f">
      <v:fill color="white" on="f"/>
      <v:stroke on="f"/>
    </o:shapedefaults>
  </w:hdrShapeDefaults>
  <w:footnotePr>
    <w:footnote w:id="-1"/>
    <w:footnote w:id="0"/>
  </w:footnotePr>
  <w:endnotePr>
    <w:endnote w:id="-1"/>
    <w:endnote w:id="0"/>
  </w:endnotePr>
  <w:compat/>
  <w:rsids>
    <w:rsidRoot w:val="00A5730C"/>
    <w:rsid w:val="00020B54"/>
    <w:rsid w:val="000245D7"/>
    <w:rsid w:val="000450C2"/>
    <w:rsid w:val="00066E34"/>
    <w:rsid w:val="00067566"/>
    <w:rsid w:val="00070CC4"/>
    <w:rsid w:val="00073608"/>
    <w:rsid w:val="00086F3C"/>
    <w:rsid w:val="00086F55"/>
    <w:rsid w:val="00087779"/>
    <w:rsid w:val="0009330F"/>
    <w:rsid w:val="00095B84"/>
    <w:rsid w:val="0009618C"/>
    <w:rsid w:val="00096BA5"/>
    <w:rsid w:val="000A7C92"/>
    <w:rsid w:val="000B3506"/>
    <w:rsid w:val="000D075E"/>
    <w:rsid w:val="000D1579"/>
    <w:rsid w:val="000E0FCD"/>
    <w:rsid w:val="000F0A4E"/>
    <w:rsid w:val="000F2909"/>
    <w:rsid w:val="001110B8"/>
    <w:rsid w:val="00113431"/>
    <w:rsid w:val="001161C4"/>
    <w:rsid w:val="001405B2"/>
    <w:rsid w:val="00141CF4"/>
    <w:rsid w:val="001466FC"/>
    <w:rsid w:val="00152012"/>
    <w:rsid w:val="001622E3"/>
    <w:rsid w:val="00166342"/>
    <w:rsid w:val="001675D1"/>
    <w:rsid w:val="0016778A"/>
    <w:rsid w:val="001911DE"/>
    <w:rsid w:val="001A52D5"/>
    <w:rsid w:val="001B2345"/>
    <w:rsid w:val="001C0627"/>
    <w:rsid w:val="001C1BA4"/>
    <w:rsid w:val="001D3525"/>
    <w:rsid w:val="001D6A7D"/>
    <w:rsid w:val="00210FB2"/>
    <w:rsid w:val="00224649"/>
    <w:rsid w:val="00237EEB"/>
    <w:rsid w:val="00247804"/>
    <w:rsid w:val="00247DBF"/>
    <w:rsid w:val="00251D1B"/>
    <w:rsid w:val="00257DBD"/>
    <w:rsid w:val="00261892"/>
    <w:rsid w:val="00272F5D"/>
    <w:rsid w:val="002761A4"/>
    <w:rsid w:val="00291167"/>
    <w:rsid w:val="00292531"/>
    <w:rsid w:val="00296F30"/>
    <w:rsid w:val="002A2378"/>
    <w:rsid w:val="002A5F05"/>
    <w:rsid w:val="002B0942"/>
    <w:rsid w:val="002B58BF"/>
    <w:rsid w:val="002C088D"/>
    <w:rsid w:val="002C1D5F"/>
    <w:rsid w:val="002D545F"/>
    <w:rsid w:val="002E694D"/>
    <w:rsid w:val="002E72F6"/>
    <w:rsid w:val="002F2148"/>
    <w:rsid w:val="002F4CD6"/>
    <w:rsid w:val="002F7964"/>
    <w:rsid w:val="00323E06"/>
    <w:rsid w:val="00324564"/>
    <w:rsid w:val="00332DD7"/>
    <w:rsid w:val="00340CBE"/>
    <w:rsid w:val="00347BC4"/>
    <w:rsid w:val="00367D4A"/>
    <w:rsid w:val="00375C05"/>
    <w:rsid w:val="00381CCE"/>
    <w:rsid w:val="00394DFC"/>
    <w:rsid w:val="003A7041"/>
    <w:rsid w:val="003B5982"/>
    <w:rsid w:val="003D12D9"/>
    <w:rsid w:val="003D7674"/>
    <w:rsid w:val="003E0946"/>
    <w:rsid w:val="003E0EC1"/>
    <w:rsid w:val="003F0A71"/>
    <w:rsid w:val="004056BE"/>
    <w:rsid w:val="004111BA"/>
    <w:rsid w:val="00420156"/>
    <w:rsid w:val="00421961"/>
    <w:rsid w:val="00444ACF"/>
    <w:rsid w:val="0045135E"/>
    <w:rsid w:val="004603C0"/>
    <w:rsid w:val="00466D6D"/>
    <w:rsid w:val="00476E58"/>
    <w:rsid w:val="00477572"/>
    <w:rsid w:val="00494FB3"/>
    <w:rsid w:val="004A335E"/>
    <w:rsid w:val="004B7ECC"/>
    <w:rsid w:val="004C27DD"/>
    <w:rsid w:val="004C4805"/>
    <w:rsid w:val="004E0B9F"/>
    <w:rsid w:val="004E432C"/>
    <w:rsid w:val="004F027A"/>
    <w:rsid w:val="004F47D0"/>
    <w:rsid w:val="00502DBC"/>
    <w:rsid w:val="00505FDF"/>
    <w:rsid w:val="00511EC0"/>
    <w:rsid w:val="00516866"/>
    <w:rsid w:val="0052122A"/>
    <w:rsid w:val="00530758"/>
    <w:rsid w:val="00535C59"/>
    <w:rsid w:val="005432D3"/>
    <w:rsid w:val="005468E6"/>
    <w:rsid w:val="00552049"/>
    <w:rsid w:val="00560A52"/>
    <w:rsid w:val="00562CE9"/>
    <w:rsid w:val="005714E1"/>
    <w:rsid w:val="00574521"/>
    <w:rsid w:val="00575A97"/>
    <w:rsid w:val="005809EE"/>
    <w:rsid w:val="005A61DA"/>
    <w:rsid w:val="005B55FB"/>
    <w:rsid w:val="005C13BB"/>
    <w:rsid w:val="005C250B"/>
    <w:rsid w:val="005C6E0A"/>
    <w:rsid w:val="005E426E"/>
    <w:rsid w:val="00601A5F"/>
    <w:rsid w:val="00606E89"/>
    <w:rsid w:val="0064284F"/>
    <w:rsid w:val="00646F1E"/>
    <w:rsid w:val="006517B3"/>
    <w:rsid w:val="00657822"/>
    <w:rsid w:val="00657EE8"/>
    <w:rsid w:val="006755C0"/>
    <w:rsid w:val="0068286C"/>
    <w:rsid w:val="00687A58"/>
    <w:rsid w:val="00692883"/>
    <w:rsid w:val="00695017"/>
    <w:rsid w:val="006A5A29"/>
    <w:rsid w:val="006B090D"/>
    <w:rsid w:val="006B4742"/>
    <w:rsid w:val="006C0569"/>
    <w:rsid w:val="006C4B91"/>
    <w:rsid w:val="006D3911"/>
    <w:rsid w:val="006E6546"/>
    <w:rsid w:val="006F6F56"/>
    <w:rsid w:val="0071143E"/>
    <w:rsid w:val="00720496"/>
    <w:rsid w:val="00721D8C"/>
    <w:rsid w:val="00751CE5"/>
    <w:rsid w:val="0076015B"/>
    <w:rsid w:val="007760E0"/>
    <w:rsid w:val="007846AB"/>
    <w:rsid w:val="00796A8C"/>
    <w:rsid w:val="007D5D9D"/>
    <w:rsid w:val="007E0497"/>
    <w:rsid w:val="007E283C"/>
    <w:rsid w:val="007E7435"/>
    <w:rsid w:val="007F263D"/>
    <w:rsid w:val="00851794"/>
    <w:rsid w:val="00851EAE"/>
    <w:rsid w:val="00851EB7"/>
    <w:rsid w:val="00866BB9"/>
    <w:rsid w:val="008732C2"/>
    <w:rsid w:val="00874248"/>
    <w:rsid w:val="00876186"/>
    <w:rsid w:val="00897D8B"/>
    <w:rsid w:val="008A21B9"/>
    <w:rsid w:val="008A2598"/>
    <w:rsid w:val="008A3E6B"/>
    <w:rsid w:val="008A74F6"/>
    <w:rsid w:val="008D2247"/>
    <w:rsid w:val="008D4181"/>
    <w:rsid w:val="008D78E9"/>
    <w:rsid w:val="008E5E2C"/>
    <w:rsid w:val="008F0049"/>
    <w:rsid w:val="00900B8D"/>
    <w:rsid w:val="00961689"/>
    <w:rsid w:val="00967B48"/>
    <w:rsid w:val="009738FC"/>
    <w:rsid w:val="00975D62"/>
    <w:rsid w:val="00990481"/>
    <w:rsid w:val="009978E2"/>
    <w:rsid w:val="009A48A3"/>
    <w:rsid w:val="009F46B7"/>
    <w:rsid w:val="009F46EE"/>
    <w:rsid w:val="00A1606E"/>
    <w:rsid w:val="00A233E2"/>
    <w:rsid w:val="00A24EFC"/>
    <w:rsid w:val="00A25235"/>
    <w:rsid w:val="00A307B7"/>
    <w:rsid w:val="00A32FFA"/>
    <w:rsid w:val="00A35F4B"/>
    <w:rsid w:val="00A56BD8"/>
    <w:rsid w:val="00A5730C"/>
    <w:rsid w:val="00A61FE4"/>
    <w:rsid w:val="00A64F28"/>
    <w:rsid w:val="00A84342"/>
    <w:rsid w:val="00A866A2"/>
    <w:rsid w:val="00A9135F"/>
    <w:rsid w:val="00AB358A"/>
    <w:rsid w:val="00AD29FA"/>
    <w:rsid w:val="00AD6971"/>
    <w:rsid w:val="00AE21F3"/>
    <w:rsid w:val="00AE32EB"/>
    <w:rsid w:val="00B07DE9"/>
    <w:rsid w:val="00B12059"/>
    <w:rsid w:val="00B3366D"/>
    <w:rsid w:val="00B33F5E"/>
    <w:rsid w:val="00B54D34"/>
    <w:rsid w:val="00B674AC"/>
    <w:rsid w:val="00B70CDB"/>
    <w:rsid w:val="00B7562F"/>
    <w:rsid w:val="00B92FD4"/>
    <w:rsid w:val="00BA1749"/>
    <w:rsid w:val="00BA6605"/>
    <w:rsid w:val="00BB14F0"/>
    <w:rsid w:val="00BF0740"/>
    <w:rsid w:val="00BF0919"/>
    <w:rsid w:val="00C02C06"/>
    <w:rsid w:val="00C032D8"/>
    <w:rsid w:val="00C1577D"/>
    <w:rsid w:val="00C40009"/>
    <w:rsid w:val="00C41BC1"/>
    <w:rsid w:val="00C45D16"/>
    <w:rsid w:val="00C538F5"/>
    <w:rsid w:val="00C5589C"/>
    <w:rsid w:val="00C61ECB"/>
    <w:rsid w:val="00C61EDB"/>
    <w:rsid w:val="00C64D47"/>
    <w:rsid w:val="00C65F00"/>
    <w:rsid w:val="00C730CF"/>
    <w:rsid w:val="00C7651B"/>
    <w:rsid w:val="00C93BDF"/>
    <w:rsid w:val="00C975D8"/>
    <w:rsid w:val="00CC49AF"/>
    <w:rsid w:val="00CE0907"/>
    <w:rsid w:val="00D1279D"/>
    <w:rsid w:val="00D27C86"/>
    <w:rsid w:val="00D32396"/>
    <w:rsid w:val="00D57561"/>
    <w:rsid w:val="00D57BBB"/>
    <w:rsid w:val="00D76B53"/>
    <w:rsid w:val="00D84885"/>
    <w:rsid w:val="00DA7AFC"/>
    <w:rsid w:val="00DC555F"/>
    <w:rsid w:val="00DE6F6D"/>
    <w:rsid w:val="00DF40C6"/>
    <w:rsid w:val="00E20F82"/>
    <w:rsid w:val="00E22028"/>
    <w:rsid w:val="00E32FD2"/>
    <w:rsid w:val="00E348FF"/>
    <w:rsid w:val="00E41BBF"/>
    <w:rsid w:val="00E53C5A"/>
    <w:rsid w:val="00E546C0"/>
    <w:rsid w:val="00E6564E"/>
    <w:rsid w:val="00E66744"/>
    <w:rsid w:val="00E67209"/>
    <w:rsid w:val="00E73C51"/>
    <w:rsid w:val="00E73CD1"/>
    <w:rsid w:val="00E808FF"/>
    <w:rsid w:val="00E97D4F"/>
    <w:rsid w:val="00EC6DDF"/>
    <w:rsid w:val="00ED3B25"/>
    <w:rsid w:val="00ED6AB2"/>
    <w:rsid w:val="00EF1874"/>
    <w:rsid w:val="00F263A1"/>
    <w:rsid w:val="00F2669E"/>
    <w:rsid w:val="00F32C5D"/>
    <w:rsid w:val="00F44A24"/>
    <w:rsid w:val="00F44D04"/>
    <w:rsid w:val="00F560B9"/>
    <w:rsid w:val="00F65202"/>
    <w:rsid w:val="00F759D2"/>
    <w:rsid w:val="00F86FF9"/>
    <w:rsid w:val="00F972E1"/>
    <w:rsid w:val="00FA6514"/>
    <w:rsid w:val="00FB62EC"/>
    <w:rsid w:val="00FC5104"/>
    <w:rsid w:val="00FD10E0"/>
    <w:rsid w:val="00FD18ED"/>
    <w:rsid w:val="00FE3AD9"/>
    <w:rsid w:val="00FF08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1074"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styleId="NoSpacing">
    <w:name w:val="No Spacing"/>
    <w:uiPriority w:val="1"/>
    <w:qFormat/>
    <w:rsid w:val="00B54D34"/>
    <w:rPr>
      <w:rFonts w:asciiTheme="minorHAnsi" w:eastAsiaTheme="minorHAnsi" w:hAnsiTheme="minorHAnsi" w:cstheme="minorBidi"/>
      <w:sz w:val="22"/>
      <w:szCs w:val="22"/>
      <w:lang w:eastAsia="en-US"/>
    </w:rPr>
  </w:style>
  <w:style w:type="paragraph" w:styleId="ListParagraph">
    <w:name w:val="List Paragraph"/>
    <w:basedOn w:val="Normal"/>
    <w:uiPriority w:val="34"/>
    <w:qFormat/>
    <w:rsid w:val="00B54D34"/>
    <w:pPr>
      <w:ind w:left="720"/>
      <w:contextualSpacing/>
    </w:pPr>
    <w:rPr>
      <w:lang w:eastAsia="en-US"/>
    </w:rPr>
  </w:style>
  <w:style w:type="paragraph" w:styleId="BodyTextIndent">
    <w:name w:val="Body Text Indent"/>
    <w:basedOn w:val="Normal"/>
    <w:link w:val="BodyTextIndentChar"/>
    <w:rsid w:val="00851EAE"/>
    <w:rPr>
      <w:b/>
      <w:szCs w:val="20"/>
    </w:rPr>
  </w:style>
  <w:style w:type="character" w:customStyle="1" w:styleId="BodyTextIndentChar">
    <w:name w:val="Body Text Indent Char"/>
    <w:basedOn w:val="DefaultParagraphFont"/>
    <w:link w:val="BodyTextIndent"/>
    <w:rsid w:val="00851EAE"/>
    <w:rPr>
      <w:b/>
      <w:sz w:val="24"/>
    </w:rPr>
  </w:style>
  <w:style w:type="character" w:customStyle="1" w:styleId="salnttl1">
    <w:name w:val="s_aln_ttl1"/>
    <w:basedOn w:val="DefaultParagraphFont"/>
    <w:rsid w:val="00020B54"/>
    <w:rPr>
      <w:rFonts w:ascii="Verdana" w:hAnsi="Verdana" w:hint="default"/>
      <w:b/>
      <w:bCs/>
      <w:vanish w:val="0"/>
      <w:webHidden w:val="0"/>
      <w:color w:val="8B0000"/>
      <w:sz w:val="16"/>
      <w:szCs w:val="16"/>
      <w:shd w:val="clear" w:color="auto" w:fill="FFFFFF"/>
      <w:specVanish w:val="0"/>
    </w:rPr>
  </w:style>
  <w:style w:type="character" w:customStyle="1" w:styleId="salnbdy">
    <w:name w:val="s_aln_bdy"/>
    <w:basedOn w:val="DefaultParagraphFont"/>
    <w:rsid w:val="00020B54"/>
    <w:rPr>
      <w:rFonts w:ascii="Verdana" w:hAnsi="Verdana" w:hint="default"/>
      <w:b w:val="0"/>
      <w:bCs w:val="0"/>
      <w:color w:val="000000"/>
      <w:sz w:val="16"/>
      <w:szCs w:val="16"/>
      <w:shd w:val="clear" w:color="auto" w:fill="FFFFFF"/>
    </w:rPr>
  </w:style>
  <w:style w:type="character" w:customStyle="1" w:styleId="spar3">
    <w:name w:val="s_par3"/>
    <w:basedOn w:val="DefaultParagraphFont"/>
    <w:rsid w:val="000B3506"/>
    <w:rPr>
      <w:rFonts w:ascii="Verdana" w:hAnsi="Verdana" w:hint="default"/>
      <w:b w:val="0"/>
      <w:bCs w:val="0"/>
      <w:vanish w:val="0"/>
      <w:webHidden w:val="0"/>
      <w:color w:val="000000"/>
      <w:sz w:val="20"/>
      <w:szCs w:val="20"/>
      <w:shd w:val="clear" w:color="auto" w:fill="FFFFFF"/>
      <w:specVanish w:val="0"/>
    </w:rPr>
  </w:style>
</w:styles>
</file>

<file path=word/webSettings.xml><?xml version="1.0" encoding="utf-8"?>
<w:webSettings xmlns:r="http://schemas.openxmlformats.org/officeDocument/2006/relationships" xmlns:w="http://schemas.openxmlformats.org/wordprocessingml/2006/main">
  <w:divs>
    <w:div w:id="258173109">
      <w:bodyDiv w:val="1"/>
      <w:marLeft w:val="0"/>
      <w:marRight w:val="0"/>
      <w:marTop w:val="0"/>
      <w:marBottom w:val="0"/>
      <w:divBdr>
        <w:top w:val="none" w:sz="0" w:space="0" w:color="auto"/>
        <w:left w:val="none" w:sz="0" w:space="0" w:color="auto"/>
        <w:bottom w:val="none" w:sz="0" w:space="0" w:color="auto"/>
        <w:right w:val="none" w:sz="0" w:space="0" w:color="auto"/>
      </w:divBdr>
    </w:div>
    <w:div w:id="326640938">
      <w:bodyDiv w:val="1"/>
      <w:marLeft w:val="0"/>
      <w:marRight w:val="0"/>
      <w:marTop w:val="0"/>
      <w:marBottom w:val="0"/>
      <w:divBdr>
        <w:top w:val="none" w:sz="0" w:space="0" w:color="auto"/>
        <w:left w:val="none" w:sz="0" w:space="0" w:color="auto"/>
        <w:bottom w:val="none" w:sz="0" w:space="0" w:color="auto"/>
        <w:right w:val="none" w:sz="0" w:space="0" w:color="auto"/>
      </w:divBdr>
    </w:div>
    <w:div w:id="1151945365">
      <w:bodyDiv w:val="1"/>
      <w:marLeft w:val="0"/>
      <w:marRight w:val="0"/>
      <w:marTop w:val="0"/>
      <w:marBottom w:val="0"/>
      <w:divBdr>
        <w:top w:val="none" w:sz="0" w:space="0" w:color="auto"/>
        <w:left w:val="none" w:sz="0" w:space="0" w:color="auto"/>
        <w:bottom w:val="none" w:sz="0" w:space="0" w:color="auto"/>
        <w:right w:val="none" w:sz="0" w:space="0" w:color="auto"/>
      </w:divBdr>
    </w:div>
    <w:div w:id="1541668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elia.nicoara@primariatm.ro"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989</Words>
  <Characters>5640</Characters>
  <Application>Microsoft Office Word</Application>
  <DocSecurity>0</DocSecurity>
  <Lines>47</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dnicoara</cp:lastModifiedBy>
  <cp:revision>9</cp:revision>
  <cp:lastPrinted>2021-01-26T11:51:00Z</cp:lastPrinted>
  <dcterms:created xsi:type="dcterms:W3CDTF">2021-01-27T11:29:00Z</dcterms:created>
  <dcterms:modified xsi:type="dcterms:W3CDTF">2021-02-08T07:34:00Z</dcterms:modified>
</cp:coreProperties>
</file>