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6449B7" w:rsidRDefault="00D23031" w:rsidP="00D23031">
      <w:pPr>
        <w:rPr>
          <w:sz w:val="22"/>
          <w:szCs w:val="22"/>
        </w:rPr>
      </w:pPr>
      <w:r w:rsidRPr="006449B7">
        <w:rPr>
          <w:sz w:val="22"/>
          <w:szCs w:val="22"/>
        </w:rPr>
        <w:t>ROM</w:t>
      </w:r>
      <w:r w:rsidR="0011138E" w:rsidRPr="006449B7">
        <w:rPr>
          <w:sz w:val="22"/>
          <w:szCs w:val="22"/>
        </w:rPr>
        <w:t>Â</w:t>
      </w:r>
      <w:r w:rsidRPr="006449B7">
        <w:rPr>
          <w:sz w:val="22"/>
          <w:szCs w:val="22"/>
        </w:rPr>
        <w:t>NIA</w:t>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r w:rsidR="00B965E0" w:rsidRPr="006449B7">
        <w:rPr>
          <w:sz w:val="22"/>
          <w:szCs w:val="22"/>
        </w:rPr>
        <w:tab/>
      </w:r>
    </w:p>
    <w:p w:rsidR="0011138E" w:rsidRPr="006449B7" w:rsidRDefault="0011138E" w:rsidP="0011138E">
      <w:pPr>
        <w:rPr>
          <w:sz w:val="22"/>
          <w:szCs w:val="22"/>
        </w:rPr>
      </w:pPr>
      <w:r w:rsidRPr="006449B7">
        <w:rPr>
          <w:sz w:val="22"/>
          <w:szCs w:val="22"/>
        </w:rPr>
        <w:t>JUDEŢUL TIMIŞ</w:t>
      </w:r>
    </w:p>
    <w:p w:rsidR="0011138E" w:rsidRPr="006449B7" w:rsidRDefault="0011138E" w:rsidP="0011138E">
      <w:pPr>
        <w:rPr>
          <w:sz w:val="22"/>
          <w:szCs w:val="22"/>
        </w:rPr>
      </w:pPr>
      <w:r w:rsidRPr="006449B7">
        <w:rPr>
          <w:sz w:val="22"/>
          <w:szCs w:val="22"/>
        </w:rPr>
        <w:t>MUNICIPIUL TIMIŞOARA</w:t>
      </w:r>
    </w:p>
    <w:p w:rsidR="00D23031" w:rsidRPr="006449B7" w:rsidRDefault="00352AAB" w:rsidP="00D23031">
      <w:pPr>
        <w:rPr>
          <w:sz w:val="22"/>
          <w:szCs w:val="22"/>
        </w:rPr>
      </w:pPr>
      <w:r w:rsidRPr="006449B7">
        <w:rPr>
          <w:sz w:val="22"/>
          <w:szCs w:val="22"/>
        </w:rPr>
        <w:t>PRIMAR</w:t>
      </w:r>
    </w:p>
    <w:p w:rsidR="00BB1C52" w:rsidRPr="006449B7" w:rsidRDefault="00D44165" w:rsidP="00A6601C">
      <w:pPr>
        <w:rPr>
          <w:sz w:val="22"/>
          <w:szCs w:val="22"/>
        </w:rPr>
      </w:pPr>
      <w:r w:rsidRPr="006449B7">
        <w:rPr>
          <w:sz w:val="22"/>
          <w:szCs w:val="22"/>
          <w:lang w:val="it-IT"/>
        </w:rPr>
        <w:t>Nr.</w:t>
      </w:r>
      <w:r w:rsidR="00521C1A">
        <w:rPr>
          <w:sz w:val="22"/>
          <w:szCs w:val="22"/>
          <w:lang w:val="it-IT"/>
        </w:rPr>
        <w:t xml:space="preserve">   SC2022-7008/23.03.2022</w:t>
      </w:r>
      <w:r w:rsidR="008E1AF2" w:rsidRPr="006449B7">
        <w:rPr>
          <w:sz w:val="22"/>
          <w:szCs w:val="22"/>
          <w:lang w:val="it-IT"/>
        </w:rPr>
        <w:t xml:space="preserve">               </w:t>
      </w:r>
      <w:r w:rsidR="00D23031" w:rsidRPr="006449B7">
        <w:rPr>
          <w:sz w:val="22"/>
          <w:szCs w:val="22"/>
          <w:lang w:val="it-IT"/>
        </w:rPr>
        <w:t xml:space="preserve">                   </w:t>
      </w:r>
      <w:r w:rsidR="00D23031" w:rsidRPr="006449B7">
        <w:rPr>
          <w:sz w:val="22"/>
          <w:szCs w:val="22"/>
        </w:rPr>
        <w:t xml:space="preserve">                                                  </w:t>
      </w:r>
    </w:p>
    <w:p w:rsidR="00A6601C" w:rsidRPr="006449B7" w:rsidRDefault="00A6601C" w:rsidP="00A6601C">
      <w:pPr>
        <w:jc w:val="center"/>
        <w:rPr>
          <w:sz w:val="22"/>
          <w:szCs w:val="22"/>
        </w:rPr>
      </w:pPr>
    </w:p>
    <w:p w:rsidR="006A42B0" w:rsidRPr="006449B7" w:rsidRDefault="006A42B0" w:rsidP="00A6601C">
      <w:pPr>
        <w:jc w:val="center"/>
        <w:rPr>
          <w:sz w:val="22"/>
          <w:szCs w:val="22"/>
        </w:rPr>
      </w:pPr>
    </w:p>
    <w:p w:rsidR="00373773" w:rsidRPr="006449B7" w:rsidRDefault="00373773" w:rsidP="00A6601C">
      <w:pPr>
        <w:jc w:val="center"/>
        <w:rPr>
          <w:sz w:val="22"/>
          <w:szCs w:val="22"/>
        </w:rPr>
      </w:pPr>
    </w:p>
    <w:p w:rsidR="00373773" w:rsidRPr="006449B7" w:rsidRDefault="00373773" w:rsidP="00A6601C">
      <w:pPr>
        <w:jc w:val="center"/>
        <w:rPr>
          <w:sz w:val="22"/>
          <w:szCs w:val="22"/>
        </w:rPr>
      </w:pPr>
    </w:p>
    <w:p w:rsidR="00373773" w:rsidRPr="006449B7" w:rsidRDefault="00373773" w:rsidP="00A6601C">
      <w:pPr>
        <w:jc w:val="center"/>
        <w:rPr>
          <w:sz w:val="22"/>
          <w:szCs w:val="22"/>
        </w:rPr>
      </w:pPr>
    </w:p>
    <w:p w:rsidR="00BB1C52" w:rsidRPr="006449B7" w:rsidRDefault="00D2391A" w:rsidP="00A6601C">
      <w:pPr>
        <w:jc w:val="center"/>
        <w:rPr>
          <w:b/>
          <w:sz w:val="22"/>
          <w:szCs w:val="22"/>
          <w:u w:val="single"/>
        </w:rPr>
      </w:pPr>
      <w:r w:rsidRPr="006449B7">
        <w:rPr>
          <w:sz w:val="22"/>
          <w:szCs w:val="22"/>
        </w:rPr>
        <w:t xml:space="preserve">                                                                                                                       </w:t>
      </w:r>
      <w:r w:rsidR="008E1AF2" w:rsidRPr="006449B7">
        <w:rPr>
          <w:sz w:val="22"/>
          <w:szCs w:val="22"/>
        </w:rPr>
        <w:t xml:space="preserve">                                                              </w:t>
      </w:r>
      <w:r w:rsidR="00A445BA" w:rsidRPr="006449B7">
        <w:rPr>
          <w:sz w:val="22"/>
          <w:szCs w:val="22"/>
        </w:rPr>
        <w:t xml:space="preserve">          </w:t>
      </w:r>
      <w:r w:rsidR="00571DAC" w:rsidRPr="006449B7">
        <w:rPr>
          <w:b/>
          <w:sz w:val="22"/>
          <w:szCs w:val="22"/>
          <w:u w:val="single"/>
        </w:rPr>
        <w:t xml:space="preserve"> REFERAT DE APROBARE A  PROIECTULUI DE HOTĂRÂRE</w:t>
      </w:r>
    </w:p>
    <w:p w:rsidR="00373773" w:rsidRPr="006449B7" w:rsidRDefault="00373773" w:rsidP="00A6601C">
      <w:pPr>
        <w:jc w:val="center"/>
        <w:rPr>
          <w:sz w:val="22"/>
          <w:szCs w:val="22"/>
        </w:rPr>
      </w:pPr>
    </w:p>
    <w:p w:rsidR="00E5135A" w:rsidRPr="006449B7" w:rsidRDefault="00A445BA" w:rsidP="00E5135A">
      <w:pPr>
        <w:spacing w:before="324" w:after="324"/>
        <w:jc w:val="center"/>
        <w:rPr>
          <w:b/>
          <w:i/>
          <w:color w:val="000000"/>
          <w:spacing w:val="-16"/>
          <w:w w:val="105"/>
          <w:sz w:val="22"/>
          <w:szCs w:val="22"/>
        </w:rPr>
      </w:pPr>
      <w:r w:rsidRPr="006449B7">
        <w:rPr>
          <w:sz w:val="22"/>
          <w:szCs w:val="22"/>
        </w:rPr>
        <w:t xml:space="preserve"> </w:t>
      </w:r>
      <w:r w:rsidR="00E5135A" w:rsidRPr="006449B7">
        <w:rPr>
          <w:b/>
          <w:i/>
          <w:color w:val="000000"/>
          <w:spacing w:val="-16"/>
          <w:w w:val="105"/>
          <w:sz w:val="22"/>
          <w:szCs w:val="22"/>
        </w:rPr>
        <w:t xml:space="preserve">Sectiunea 1 </w:t>
      </w:r>
      <w:r w:rsidR="00E5135A" w:rsidRPr="006449B7">
        <w:rPr>
          <w:b/>
          <w:i/>
          <w:color w:val="000000"/>
          <w:spacing w:val="-16"/>
          <w:w w:val="105"/>
          <w:sz w:val="22"/>
          <w:szCs w:val="22"/>
        </w:rPr>
        <w:br/>
      </w:r>
      <w:r w:rsidR="00E5135A" w:rsidRPr="006449B7">
        <w:rPr>
          <w:b/>
          <w:i/>
          <w:color w:val="000000"/>
          <w:spacing w:val="-8"/>
          <w:w w:val="105"/>
          <w:sz w:val="22"/>
          <w:szCs w:val="22"/>
        </w:rPr>
        <w:t>Titlul proiectului de hotărâre</w:t>
      </w:r>
    </w:p>
    <w:p w:rsidR="00EB561E" w:rsidRPr="006449B7" w:rsidRDefault="00E5135A" w:rsidP="00EB561E">
      <w:pPr>
        <w:jc w:val="center"/>
        <w:rPr>
          <w:b/>
          <w:color w:val="000000"/>
          <w:spacing w:val="-2"/>
          <w:sz w:val="22"/>
          <w:szCs w:val="22"/>
        </w:rPr>
      </w:pPr>
      <w:r w:rsidRPr="006449B7">
        <w:rPr>
          <w:b/>
          <w:color w:val="000000"/>
          <w:spacing w:val="-6"/>
          <w:sz w:val="22"/>
          <w:szCs w:val="22"/>
        </w:rPr>
        <w:t xml:space="preserve">Proiect de hotărâre </w:t>
      </w:r>
      <w:r w:rsidRPr="006449B7">
        <w:rPr>
          <w:b/>
          <w:color w:val="000000"/>
          <w:spacing w:val="-2"/>
          <w:sz w:val="22"/>
          <w:szCs w:val="22"/>
        </w:rPr>
        <w:t xml:space="preserve">privind </w:t>
      </w:r>
    </w:p>
    <w:p w:rsidR="000266C2" w:rsidRPr="006449B7" w:rsidRDefault="007036FA" w:rsidP="000266C2">
      <w:pPr>
        <w:pStyle w:val="ListParagraph"/>
        <w:jc w:val="center"/>
        <w:rPr>
          <w:rFonts w:ascii="Times New Roman" w:hAnsi="Times New Roman"/>
        </w:rPr>
      </w:pPr>
      <w:r w:rsidRPr="006449B7">
        <w:rPr>
          <w:rFonts w:ascii="Times New Roman" w:hAnsi="Times New Roman"/>
        </w:rPr>
        <w:t xml:space="preserve">aprobarea indicatorilor tehnico-economici și a Devizului General prevăzuți în </w:t>
      </w:r>
      <w:r w:rsidRPr="006449B7">
        <w:rPr>
          <w:rFonts w:ascii="Times New Roman" w:hAnsi="Times New Roman"/>
          <w:lang w:val="it-IT"/>
        </w:rPr>
        <w:t xml:space="preserve">documentația </w:t>
      </w:r>
      <w:r w:rsidRPr="006449B7">
        <w:rPr>
          <w:rFonts w:ascii="Times New Roman" w:hAnsi="Times New Roman"/>
        </w:rPr>
        <w:t xml:space="preserve"> aferentă obiectivului</w:t>
      </w:r>
      <w:r w:rsidRPr="006449B7">
        <w:rPr>
          <w:rFonts w:ascii="Times New Roman" w:hAnsi="Times New Roman"/>
          <w:lang w:val="fr-FR"/>
        </w:rPr>
        <w:t xml:space="preserve"> de investiții </w:t>
      </w:r>
      <w:r w:rsidR="000266C2" w:rsidRPr="006449B7">
        <w:rPr>
          <w:rFonts w:ascii="Times New Roman" w:hAnsi="Times New Roman"/>
        </w:rPr>
        <w:t>”AUDIT ENERGETIC+DALI+PT- Reabilitare termica  gradinita cu program prelungit nr.6”, situat în Timisoara, Str. Tepes Voda( Ismail), nr. 17, jud.Timis</w:t>
      </w:r>
    </w:p>
    <w:p w:rsidR="00A6601C" w:rsidRPr="006449B7" w:rsidRDefault="00E5135A" w:rsidP="0066029A">
      <w:pPr>
        <w:spacing w:before="388" w:after="324"/>
        <w:jc w:val="center"/>
        <w:rPr>
          <w:b/>
          <w:i/>
          <w:color w:val="000000"/>
          <w:spacing w:val="-7"/>
          <w:w w:val="105"/>
          <w:sz w:val="22"/>
          <w:szCs w:val="22"/>
        </w:rPr>
      </w:pPr>
      <w:r w:rsidRPr="006449B7">
        <w:rPr>
          <w:b/>
          <w:i/>
          <w:color w:val="000000"/>
          <w:spacing w:val="-20"/>
          <w:w w:val="105"/>
          <w:sz w:val="22"/>
          <w:szCs w:val="22"/>
        </w:rPr>
        <w:t xml:space="preserve">Sectiunea a 2 - a </w:t>
      </w:r>
      <w:r w:rsidRPr="006449B7">
        <w:rPr>
          <w:b/>
          <w:i/>
          <w:color w:val="000000"/>
          <w:spacing w:val="-20"/>
          <w:w w:val="105"/>
          <w:sz w:val="22"/>
          <w:szCs w:val="22"/>
        </w:rPr>
        <w:br/>
      </w:r>
      <w:r w:rsidRPr="006449B7">
        <w:rPr>
          <w:b/>
          <w:i/>
          <w:color w:val="000000"/>
          <w:spacing w:val="-7"/>
          <w:w w:val="105"/>
          <w:sz w:val="22"/>
          <w:szCs w:val="22"/>
        </w:rPr>
        <w:t>Motivul emiterii proiectului de hotărâre</w:t>
      </w:r>
    </w:p>
    <w:p w:rsidR="00A6601C" w:rsidRPr="006449B7" w:rsidRDefault="002C612D" w:rsidP="00A6601C">
      <w:pPr>
        <w:pStyle w:val="ListParagraph"/>
        <w:numPr>
          <w:ilvl w:val="0"/>
          <w:numId w:val="9"/>
        </w:numPr>
        <w:tabs>
          <w:tab w:val="decimal" w:pos="360"/>
          <w:tab w:val="decimal" w:pos="432"/>
        </w:tabs>
        <w:spacing w:after="0" w:line="240" w:lineRule="auto"/>
        <w:ind w:hanging="720"/>
        <w:jc w:val="both"/>
        <w:rPr>
          <w:rFonts w:ascii="Times New Roman" w:hAnsi="Times New Roman"/>
          <w:b/>
          <w:spacing w:val="-5"/>
        </w:rPr>
      </w:pPr>
      <w:r w:rsidRPr="006449B7">
        <w:rPr>
          <w:rFonts w:ascii="Times New Roman" w:hAnsi="Times New Roman"/>
          <w:b/>
          <w:spacing w:val="-5"/>
        </w:rPr>
        <w:t>Descrierea situaţiei actuale</w:t>
      </w:r>
    </w:p>
    <w:p w:rsidR="00B22F00" w:rsidRPr="006449B7" w:rsidRDefault="00B22F00" w:rsidP="00B22F00">
      <w:pPr>
        <w:pStyle w:val="ListParagraph"/>
        <w:tabs>
          <w:tab w:val="decimal" w:pos="360"/>
          <w:tab w:val="decimal" w:pos="432"/>
        </w:tabs>
        <w:spacing w:after="0" w:line="240" w:lineRule="auto"/>
        <w:jc w:val="both"/>
        <w:rPr>
          <w:rFonts w:ascii="Times New Roman" w:hAnsi="Times New Roman"/>
          <w:b/>
          <w:spacing w:val="-5"/>
        </w:rPr>
      </w:pPr>
    </w:p>
    <w:p w:rsidR="002E612A" w:rsidRDefault="002E612A" w:rsidP="002E612A">
      <w:pPr>
        <w:autoSpaceDE w:val="0"/>
        <w:autoSpaceDN w:val="0"/>
        <w:adjustRightInd w:val="0"/>
        <w:jc w:val="both"/>
        <w:rPr>
          <w:sz w:val="22"/>
          <w:szCs w:val="22"/>
        </w:rPr>
      </w:pPr>
      <w:r>
        <w:rPr>
          <w:spacing w:val="-5"/>
          <w:sz w:val="22"/>
          <w:szCs w:val="22"/>
        </w:rPr>
        <w:t xml:space="preserve">       </w:t>
      </w:r>
      <w:r w:rsidRPr="00DE32D3">
        <w:rPr>
          <w:spacing w:val="-5"/>
          <w:sz w:val="22"/>
          <w:szCs w:val="22"/>
        </w:rPr>
        <w:t xml:space="preserve">Municipiul Timișoara a incheiat Contractul de prestare de  servicii nr.100/02.06.2020  cu operatorul economic S.C. Hentza Business S.R.L., avand ca obiect  realizarea </w:t>
      </w:r>
      <w:r w:rsidRPr="00DE32D3">
        <w:rPr>
          <w:color w:val="000000"/>
          <w:sz w:val="22"/>
          <w:szCs w:val="22"/>
        </w:rPr>
        <w:t xml:space="preserve"> </w:t>
      </w:r>
      <w:r w:rsidRPr="00DE32D3">
        <w:rPr>
          <w:sz w:val="22"/>
          <w:szCs w:val="22"/>
        </w:rPr>
        <w:t xml:space="preserve">”AUDIT ENERGETIC+DALI+PT- Reabilitare termica  gradinita cu program prelungit nr.6”, situat în Timisoara, Str. Tepes Voda( </w:t>
      </w:r>
      <w:r>
        <w:rPr>
          <w:sz w:val="22"/>
          <w:szCs w:val="22"/>
        </w:rPr>
        <w:t xml:space="preserve">fostă </w:t>
      </w:r>
      <w:r w:rsidRPr="00DE32D3">
        <w:rPr>
          <w:sz w:val="22"/>
          <w:szCs w:val="22"/>
        </w:rPr>
        <w:t>Ismail), nr. 17, jud.Timis</w:t>
      </w:r>
      <w:r>
        <w:rPr>
          <w:sz w:val="22"/>
          <w:szCs w:val="22"/>
        </w:rPr>
        <w:t>.</w:t>
      </w:r>
    </w:p>
    <w:p w:rsidR="002E612A" w:rsidRPr="00B22521" w:rsidRDefault="002E612A" w:rsidP="002E612A">
      <w:pPr>
        <w:autoSpaceDE w:val="0"/>
        <w:autoSpaceDN w:val="0"/>
        <w:adjustRightInd w:val="0"/>
        <w:jc w:val="both"/>
        <w:rPr>
          <w:color w:val="000000"/>
          <w:spacing w:val="-2"/>
          <w:sz w:val="22"/>
          <w:szCs w:val="22"/>
          <w:lang w:val="es-ES"/>
        </w:rPr>
      </w:pPr>
      <w:r>
        <w:rPr>
          <w:sz w:val="22"/>
          <w:szCs w:val="22"/>
        </w:rPr>
        <w:t xml:space="preserve">     </w:t>
      </w:r>
      <w:r w:rsidRPr="00DE32D3">
        <w:rPr>
          <w:color w:val="000000"/>
          <w:spacing w:val="-2"/>
          <w:sz w:val="22"/>
          <w:szCs w:val="22"/>
          <w:lang w:val="es-ES"/>
        </w:rPr>
        <w:t xml:space="preserve"> Urmarea acestui contract </w:t>
      </w:r>
      <w:r w:rsidRPr="00DE32D3">
        <w:rPr>
          <w:spacing w:val="-5"/>
          <w:sz w:val="22"/>
          <w:szCs w:val="22"/>
        </w:rPr>
        <w:t xml:space="preserve">operatorul economic S.C. Hentza Business S.R.L. </w:t>
      </w:r>
      <w:r w:rsidRPr="00DE32D3">
        <w:rPr>
          <w:color w:val="000000"/>
          <w:spacing w:val="-2"/>
          <w:sz w:val="22"/>
          <w:szCs w:val="22"/>
          <w:lang w:val="es-ES"/>
        </w:rPr>
        <w:t>a elaborat proiectul nr.70/2020 cu denumirea ,,Reabilitare térmica corp cladire Gradinita PP nr. 6</w:t>
      </w:r>
      <w:r>
        <w:rPr>
          <w:color w:val="000000"/>
          <w:spacing w:val="-2"/>
          <w:sz w:val="22"/>
          <w:szCs w:val="22"/>
          <w:lang w:val="es-ES"/>
        </w:rPr>
        <w:t xml:space="preserve"> ,</w:t>
      </w:r>
      <w:r w:rsidRPr="00DE32D3">
        <w:rPr>
          <w:b/>
          <w:sz w:val="22"/>
          <w:szCs w:val="22"/>
          <w:lang w:val="it-IT"/>
        </w:rPr>
        <w:t xml:space="preserve"> </w:t>
      </w:r>
      <w:r w:rsidRPr="00B22521">
        <w:rPr>
          <w:sz w:val="22"/>
          <w:szCs w:val="22"/>
          <w:lang w:val="it-IT"/>
        </w:rPr>
        <w:t>Timisoara</w:t>
      </w:r>
      <w:r w:rsidRPr="00B22521">
        <w:rPr>
          <w:color w:val="000000"/>
          <w:sz w:val="22"/>
          <w:szCs w:val="22"/>
        </w:rPr>
        <w:t>”</w:t>
      </w:r>
      <w:r w:rsidRPr="00B22521">
        <w:rPr>
          <w:color w:val="000000"/>
          <w:spacing w:val="-2"/>
          <w:sz w:val="22"/>
          <w:szCs w:val="22"/>
          <w:lang w:val="es-ES"/>
        </w:rPr>
        <w:t>.</w:t>
      </w:r>
    </w:p>
    <w:p w:rsidR="002E612A" w:rsidRPr="00DE32D3" w:rsidRDefault="002E612A" w:rsidP="002E612A">
      <w:pPr>
        <w:jc w:val="both"/>
        <w:rPr>
          <w:color w:val="000000"/>
          <w:spacing w:val="-2"/>
          <w:sz w:val="22"/>
          <w:szCs w:val="22"/>
          <w:lang w:val="es-ES"/>
        </w:rPr>
      </w:pPr>
      <w:r w:rsidRPr="00DE32D3">
        <w:rPr>
          <w:color w:val="000000"/>
          <w:spacing w:val="-2"/>
          <w:sz w:val="22"/>
          <w:szCs w:val="22"/>
          <w:lang w:val="es-ES"/>
        </w:rPr>
        <w:t>Procedura de întocmire a documentației necesare achiziției publice precum și urmărirea derulării contractului  s-a desfășurat de către Biroul Construcții Instalații, actual Birou Reabilitare Clădiri Publice</w:t>
      </w:r>
    </w:p>
    <w:p w:rsidR="00A6601C" w:rsidRPr="002E612A" w:rsidRDefault="00A6601C" w:rsidP="002E612A">
      <w:pPr>
        <w:tabs>
          <w:tab w:val="decimal" w:pos="360"/>
          <w:tab w:val="decimal" w:pos="432"/>
        </w:tabs>
        <w:jc w:val="both"/>
        <w:rPr>
          <w:b/>
          <w:spacing w:val="-5"/>
        </w:rPr>
      </w:pPr>
    </w:p>
    <w:p w:rsidR="0086458F" w:rsidRPr="006449B7" w:rsidRDefault="00971ACF" w:rsidP="0086458F">
      <w:pPr>
        <w:autoSpaceDE w:val="0"/>
        <w:autoSpaceDN w:val="0"/>
        <w:adjustRightInd w:val="0"/>
        <w:jc w:val="both"/>
        <w:rPr>
          <w:bCs/>
          <w:iCs/>
          <w:noProof/>
          <w:sz w:val="22"/>
          <w:szCs w:val="22"/>
        </w:rPr>
      </w:pPr>
      <w:r w:rsidRPr="006449B7">
        <w:rPr>
          <w:rFonts w:eastAsia="Calibri"/>
          <w:sz w:val="22"/>
          <w:szCs w:val="22"/>
          <w:lang w:val="en-US"/>
        </w:rPr>
        <w:t xml:space="preserve">     </w:t>
      </w:r>
      <w:r w:rsidR="0086458F" w:rsidRPr="006449B7">
        <w:rPr>
          <w:noProof/>
          <w:sz w:val="22"/>
          <w:szCs w:val="22"/>
        </w:rPr>
        <w:t xml:space="preserve">Imobilul cu regim de înălţime P+1 </w:t>
      </w:r>
      <w:r w:rsidR="00EF47AF">
        <w:rPr>
          <w:noProof/>
          <w:sz w:val="22"/>
          <w:szCs w:val="22"/>
        </w:rPr>
        <w:t xml:space="preserve">ce vizeza </w:t>
      </w:r>
      <w:r w:rsidR="0086458F" w:rsidRPr="006449B7">
        <w:rPr>
          <w:noProof/>
          <w:sz w:val="22"/>
          <w:szCs w:val="22"/>
        </w:rPr>
        <w:t>lucrările de intervenţie</w:t>
      </w:r>
      <w:r w:rsidR="00EF47AF">
        <w:rPr>
          <w:noProof/>
          <w:sz w:val="22"/>
          <w:szCs w:val="22"/>
        </w:rPr>
        <w:t>,</w:t>
      </w:r>
      <w:r w:rsidR="0086458F" w:rsidRPr="006449B7">
        <w:rPr>
          <w:noProof/>
          <w:sz w:val="22"/>
          <w:szCs w:val="22"/>
        </w:rPr>
        <w:t xml:space="preserve"> se află în intravilanul municipiului Timişoara, pe un teren în suprafaţă de 1798 mp, are o amprentă la sol de </w:t>
      </w:r>
      <w:r w:rsidR="0086458F" w:rsidRPr="006449B7">
        <w:rPr>
          <w:bCs/>
          <w:iCs/>
          <w:noProof/>
          <w:sz w:val="22"/>
          <w:szCs w:val="22"/>
        </w:rPr>
        <w:t>389.80 mp</w:t>
      </w:r>
      <w:r w:rsidR="0086458F" w:rsidRPr="006449B7">
        <w:rPr>
          <w:noProof/>
          <w:sz w:val="22"/>
          <w:szCs w:val="22"/>
        </w:rPr>
        <w:t xml:space="preserve"> şi o suprafaţă construită desfăşurată de </w:t>
      </w:r>
      <w:r w:rsidR="0086458F" w:rsidRPr="006449B7">
        <w:rPr>
          <w:bCs/>
          <w:iCs/>
          <w:noProof/>
          <w:sz w:val="22"/>
          <w:szCs w:val="22"/>
        </w:rPr>
        <w:t>710.37 mp.</w:t>
      </w:r>
    </w:p>
    <w:p w:rsidR="0086458F" w:rsidRPr="006449B7" w:rsidRDefault="0086458F" w:rsidP="0086458F">
      <w:pPr>
        <w:autoSpaceDE w:val="0"/>
        <w:autoSpaceDN w:val="0"/>
        <w:adjustRightInd w:val="0"/>
        <w:jc w:val="both"/>
        <w:rPr>
          <w:noProof/>
          <w:sz w:val="22"/>
          <w:szCs w:val="22"/>
        </w:rPr>
      </w:pPr>
      <w:r w:rsidRPr="006449B7">
        <w:rPr>
          <w:noProof/>
          <w:sz w:val="22"/>
          <w:szCs w:val="22"/>
        </w:rPr>
        <w:t>Accesul principal pe teren pentru cladirea gradiniţei se face din str. Ismail, latura de Sud. Accesul secundar se face din str. Brumărele, latura de Vest. Clădirea se află la intersecţia străzii Brumărele cu strada Ismail, fiind marginită pe două laturi de către aceste străzi.</w:t>
      </w:r>
    </w:p>
    <w:p w:rsidR="0086458F" w:rsidRPr="006449B7" w:rsidRDefault="0086458F" w:rsidP="0086458F">
      <w:pPr>
        <w:autoSpaceDE w:val="0"/>
        <w:autoSpaceDN w:val="0"/>
        <w:adjustRightInd w:val="0"/>
        <w:jc w:val="both"/>
        <w:rPr>
          <w:bCs/>
          <w:iCs/>
          <w:noProof/>
          <w:sz w:val="22"/>
          <w:szCs w:val="22"/>
        </w:rPr>
      </w:pPr>
      <w:r w:rsidRPr="006449B7">
        <w:rPr>
          <w:noProof/>
          <w:sz w:val="22"/>
          <w:szCs w:val="22"/>
        </w:rPr>
        <w:t xml:space="preserve"> </w:t>
      </w:r>
    </w:p>
    <w:p w:rsidR="0086458F" w:rsidRPr="006449B7" w:rsidRDefault="0086458F" w:rsidP="0086458F">
      <w:pPr>
        <w:tabs>
          <w:tab w:val="left" w:pos="90"/>
        </w:tabs>
        <w:rPr>
          <w:bCs/>
          <w:noProof/>
          <w:sz w:val="22"/>
          <w:szCs w:val="22"/>
        </w:rPr>
      </w:pPr>
      <w:r w:rsidRPr="006449B7">
        <w:rPr>
          <w:sz w:val="22"/>
          <w:szCs w:val="22"/>
        </w:rPr>
        <w:t xml:space="preserve">         </w:t>
      </w:r>
      <w:r w:rsidRPr="006449B7">
        <w:rPr>
          <w:bCs/>
          <w:noProof/>
          <w:sz w:val="22"/>
          <w:szCs w:val="22"/>
        </w:rPr>
        <w:t>Proiectul de investiţii cuprinde lu</w:t>
      </w:r>
      <w:r w:rsidR="00EF47AF">
        <w:rPr>
          <w:bCs/>
          <w:noProof/>
          <w:sz w:val="22"/>
          <w:szCs w:val="22"/>
        </w:rPr>
        <w:t>c</w:t>
      </w:r>
      <w:r w:rsidRPr="006449B7">
        <w:rPr>
          <w:bCs/>
          <w:noProof/>
          <w:sz w:val="22"/>
          <w:szCs w:val="22"/>
        </w:rPr>
        <w:t>rări de reabilitare termică a imobilului cu regim de înălţime P+1E+Pod. Lucrările se vor realiza în mod unitar pentru întreaga clădire, potrivit caracterului arhitectural al imobilului şi al zonei.</w:t>
      </w:r>
    </w:p>
    <w:p w:rsidR="0086458F" w:rsidRPr="006449B7" w:rsidRDefault="0086458F" w:rsidP="0086458F">
      <w:pPr>
        <w:tabs>
          <w:tab w:val="left" w:pos="90"/>
        </w:tabs>
        <w:rPr>
          <w:bCs/>
          <w:noProof/>
          <w:sz w:val="22"/>
          <w:szCs w:val="22"/>
        </w:rPr>
      </w:pPr>
      <w:r w:rsidRPr="006449B7">
        <w:rPr>
          <w:bCs/>
          <w:noProof/>
          <w:sz w:val="22"/>
          <w:szCs w:val="22"/>
        </w:rPr>
        <w:t>Lucrările de Reabilitare termică corp clădire Grădiniţa PP nr. 6, str. Ţepeş Vodă (Ismail) nr. 17 reprezintă, în ansamblu, un proiect de investiţii ce cuprinde realizarea următoarelor intervenţii asupra clădirii:</w:t>
      </w:r>
    </w:p>
    <w:p w:rsidR="0086458F" w:rsidRPr="006449B7" w:rsidRDefault="0086458F" w:rsidP="0086458F">
      <w:pPr>
        <w:tabs>
          <w:tab w:val="left" w:pos="90"/>
        </w:tabs>
        <w:ind w:firstLine="810"/>
        <w:rPr>
          <w:noProof/>
          <w:sz w:val="22"/>
          <w:szCs w:val="22"/>
        </w:rPr>
      </w:pPr>
      <w:r w:rsidRPr="006449B7">
        <w:rPr>
          <w:noProof/>
          <w:sz w:val="22"/>
          <w:szCs w:val="22"/>
        </w:rPr>
        <w:t>-consolidarea clădirii cu tencuieli armate cu plasă sudată pe o faţă a pereţilor exteriori;</w:t>
      </w:r>
    </w:p>
    <w:p w:rsidR="0086458F" w:rsidRPr="006449B7" w:rsidRDefault="0086458F" w:rsidP="0086458F">
      <w:pPr>
        <w:tabs>
          <w:tab w:val="left" w:pos="90"/>
        </w:tabs>
        <w:ind w:firstLine="810"/>
        <w:rPr>
          <w:bCs/>
          <w:noProof/>
          <w:sz w:val="22"/>
          <w:szCs w:val="22"/>
        </w:rPr>
      </w:pPr>
      <w:r w:rsidRPr="006449B7">
        <w:rPr>
          <w:bCs/>
          <w:noProof/>
          <w:sz w:val="22"/>
          <w:szCs w:val="22"/>
        </w:rPr>
        <w:t>-imbunătăţirea izolaţiei termice a clădirii (anveloparea cu vată bazaltică a pereţilor exteriori, reabilitarea tâmplăriei şi a învelitoarelor);</w:t>
      </w:r>
    </w:p>
    <w:p w:rsidR="0086458F" w:rsidRPr="006449B7" w:rsidRDefault="0086458F" w:rsidP="0086458F">
      <w:pPr>
        <w:tabs>
          <w:tab w:val="left" w:pos="90"/>
        </w:tabs>
        <w:ind w:firstLine="810"/>
        <w:rPr>
          <w:bCs/>
          <w:noProof/>
          <w:sz w:val="22"/>
          <w:szCs w:val="22"/>
        </w:rPr>
      </w:pPr>
      <w:r w:rsidRPr="006449B7">
        <w:rPr>
          <w:bCs/>
          <w:noProof/>
          <w:sz w:val="22"/>
          <w:szCs w:val="22"/>
        </w:rPr>
        <w:lastRenderedPageBreak/>
        <w:t>-izolarea cu vată bazaltică rigidă a plăcii peste etaj (zona de clădire orientată către stradă) şi a plăcii peste parter (zona de clădire orientată către curte), peste care se va monta duşumea din lemn;</w:t>
      </w:r>
    </w:p>
    <w:p w:rsidR="0086458F" w:rsidRPr="006449B7" w:rsidRDefault="0086458F" w:rsidP="0086458F">
      <w:pPr>
        <w:tabs>
          <w:tab w:val="left" w:pos="90"/>
          <w:tab w:val="left" w:pos="7770"/>
        </w:tabs>
        <w:ind w:firstLine="810"/>
        <w:rPr>
          <w:bCs/>
          <w:noProof/>
          <w:sz w:val="22"/>
          <w:szCs w:val="22"/>
        </w:rPr>
      </w:pPr>
      <w:r w:rsidRPr="006449B7">
        <w:rPr>
          <w:bCs/>
          <w:noProof/>
          <w:sz w:val="22"/>
          <w:szCs w:val="22"/>
        </w:rPr>
        <w:t>-executarea de lucrări de reparaţii la faţade, soclu şi trotuare;</w:t>
      </w:r>
      <w:r w:rsidRPr="006449B7">
        <w:rPr>
          <w:bCs/>
          <w:noProof/>
          <w:sz w:val="22"/>
          <w:szCs w:val="22"/>
        </w:rPr>
        <w:tab/>
      </w:r>
    </w:p>
    <w:p w:rsidR="0086458F" w:rsidRPr="006449B7" w:rsidRDefault="0086458F" w:rsidP="0086458F">
      <w:pPr>
        <w:tabs>
          <w:tab w:val="left" w:pos="90"/>
        </w:tabs>
        <w:ind w:firstLine="810"/>
        <w:rPr>
          <w:bCs/>
          <w:noProof/>
          <w:sz w:val="22"/>
          <w:szCs w:val="22"/>
        </w:rPr>
      </w:pPr>
      <w:r w:rsidRPr="006449B7">
        <w:rPr>
          <w:bCs/>
          <w:noProof/>
          <w:sz w:val="22"/>
          <w:szCs w:val="22"/>
        </w:rPr>
        <w:t>-repararea plăcii de beton de la nivelul balconului de acces şi refacerea acesteia prin consolidare şi extindere în lateral cu 30 cm;</w:t>
      </w:r>
    </w:p>
    <w:p w:rsidR="0086458F" w:rsidRPr="006449B7" w:rsidRDefault="0086458F" w:rsidP="0086458F">
      <w:pPr>
        <w:tabs>
          <w:tab w:val="left" w:pos="90"/>
        </w:tabs>
        <w:ind w:firstLine="810"/>
        <w:rPr>
          <w:bCs/>
          <w:noProof/>
          <w:sz w:val="22"/>
          <w:szCs w:val="22"/>
        </w:rPr>
      </w:pPr>
      <w:r w:rsidRPr="006449B7">
        <w:rPr>
          <w:bCs/>
          <w:noProof/>
          <w:sz w:val="22"/>
          <w:szCs w:val="22"/>
        </w:rPr>
        <w:t>-demolarea şi refacerea în totalitate a scării metalice;</w:t>
      </w:r>
    </w:p>
    <w:p w:rsidR="0086458F" w:rsidRPr="006449B7" w:rsidRDefault="0086458F" w:rsidP="0086458F">
      <w:pPr>
        <w:tabs>
          <w:tab w:val="left" w:pos="90"/>
        </w:tabs>
        <w:ind w:firstLine="810"/>
        <w:rPr>
          <w:bCs/>
          <w:noProof/>
          <w:sz w:val="22"/>
          <w:szCs w:val="22"/>
        </w:rPr>
      </w:pPr>
      <w:r w:rsidRPr="006449B7">
        <w:rPr>
          <w:bCs/>
          <w:noProof/>
          <w:sz w:val="22"/>
          <w:szCs w:val="22"/>
        </w:rPr>
        <w:t>-montarea a două copertine cu prindere la peretele existent, corespunzătoare fiecăruia dintre cele două accesuri în clădire;</w:t>
      </w:r>
    </w:p>
    <w:p w:rsidR="0086458F" w:rsidRPr="006449B7" w:rsidRDefault="0086458F" w:rsidP="0086458F">
      <w:pPr>
        <w:tabs>
          <w:tab w:val="left" w:pos="90"/>
        </w:tabs>
        <w:ind w:firstLine="810"/>
        <w:rPr>
          <w:bCs/>
          <w:noProof/>
          <w:sz w:val="22"/>
          <w:szCs w:val="22"/>
        </w:rPr>
      </w:pPr>
      <w:r w:rsidRPr="006449B7">
        <w:rPr>
          <w:bCs/>
          <w:noProof/>
          <w:sz w:val="22"/>
          <w:szCs w:val="22"/>
        </w:rPr>
        <w:t>-inlocuirea centralelor termice cu centrale pe gaz cu randament ridicat, în condensare;</w:t>
      </w:r>
    </w:p>
    <w:p w:rsidR="0086458F" w:rsidRPr="006449B7" w:rsidRDefault="0086458F" w:rsidP="0086458F">
      <w:pPr>
        <w:tabs>
          <w:tab w:val="left" w:pos="90"/>
        </w:tabs>
        <w:ind w:firstLine="810"/>
        <w:rPr>
          <w:bCs/>
          <w:noProof/>
          <w:sz w:val="22"/>
          <w:szCs w:val="22"/>
        </w:rPr>
      </w:pPr>
      <w:r w:rsidRPr="006449B7">
        <w:rPr>
          <w:bCs/>
          <w:noProof/>
          <w:sz w:val="22"/>
          <w:szCs w:val="22"/>
        </w:rPr>
        <w:t>-montarea instalaţiilor de reglaj termic pe zone încălzite şi perioadă de utilizare;</w:t>
      </w:r>
    </w:p>
    <w:p w:rsidR="0086458F" w:rsidRPr="006449B7" w:rsidRDefault="0086458F" w:rsidP="0086458F">
      <w:pPr>
        <w:tabs>
          <w:tab w:val="left" w:pos="90"/>
        </w:tabs>
        <w:ind w:firstLine="810"/>
        <w:rPr>
          <w:bCs/>
          <w:noProof/>
          <w:sz w:val="22"/>
          <w:szCs w:val="22"/>
        </w:rPr>
      </w:pPr>
      <w:r w:rsidRPr="006449B7">
        <w:rPr>
          <w:bCs/>
          <w:noProof/>
          <w:sz w:val="22"/>
          <w:szCs w:val="22"/>
        </w:rPr>
        <w:t>-modernizarea instalaţiilor sanitare, prin înlocuirea elementelor deteriorate sau nefuncţionale;</w:t>
      </w:r>
    </w:p>
    <w:p w:rsidR="0086458F" w:rsidRPr="006449B7" w:rsidRDefault="0086458F" w:rsidP="0086458F">
      <w:pPr>
        <w:tabs>
          <w:tab w:val="left" w:pos="90"/>
        </w:tabs>
        <w:ind w:firstLine="810"/>
        <w:rPr>
          <w:bCs/>
          <w:noProof/>
          <w:sz w:val="22"/>
          <w:szCs w:val="22"/>
        </w:rPr>
      </w:pPr>
      <w:r w:rsidRPr="006449B7">
        <w:rPr>
          <w:bCs/>
          <w:noProof/>
          <w:sz w:val="22"/>
          <w:szCs w:val="22"/>
        </w:rPr>
        <w:t>-modernizarea instalaţiei de iluminat, prin montarea de corpuri de iluminat cu senzori în spaţiile comune;</w:t>
      </w:r>
    </w:p>
    <w:p w:rsidR="0086458F" w:rsidRPr="006449B7" w:rsidRDefault="0086458F" w:rsidP="0086458F">
      <w:pPr>
        <w:tabs>
          <w:tab w:val="left" w:pos="90"/>
        </w:tabs>
        <w:ind w:firstLine="810"/>
        <w:rPr>
          <w:bCs/>
          <w:noProof/>
          <w:sz w:val="22"/>
          <w:szCs w:val="22"/>
        </w:rPr>
      </w:pPr>
      <w:r w:rsidRPr="006449B7">
        <w:rPr>
          <w:bCs/>
          <w:noProof/>
          <w:sz w:val="22"/>
          <w:szCs w:val="22"/>
        </w:rPr>
        <w:t>-reabilitarea construcţiei şi aducerea sa într-o stare ce respectă normativele în vigoare, referitoare la rezistenţă şi stabilitate, securitate la incendiu, igienă şi sănătate, protecţia mediuluişi protecţia împotriva zgomotului.</w:t>
      </w:r>
    </w:p>
    <w:p w:rsidR="0086458F" w:rsidRPr="006449B7" w:rsidRDefault="0086458F" w:rsidP="0086458F">
      <w:pPr>
        <w:tabs>
          <w:tab w:val="left" w:pos="90"/>
        </w:tabs>
        <w:ind w:firstLine="810"/>
        <w:rPr>
          <w:bCs/>
          <w:noProof/>
          <w:sz w:val="22"/>
          <w:szCs w:val="22"/>
        </w:rPr>
      </w:pPr>
      <w:r w:rsidRPr="006449B7">
        <w:rPr>
          <w:bCs/>
          <w:noProof/>
          <w:sz w:val="22"/>
          <w:szCs w:val="22"/>
        </w:rPr>
        <w:t>-prin proiect se urmărește creșterea eficienței energetice a clădiri școlii, îmbunătățirea condițiilor de confort termic interior, reducerea pierderilor de căldură și a consumurilor energetice, reducerea costurilor pentru încălzire și apă caldă de consum, reducerea emisiilor poluante generate de producerea, transportul și consumul de energie.</w:t>
      </w:r>
    </w:p>
    <w:p w:rsidR="0086458F" w:rsidRPr="006449B7" w:rsidRDefault="0086458F"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6449B7" w:rsidRPr="006449B7" w:rsidRDefault="006449B7" w:rsidP="0086458F">
      <w:pPr>
        <w:tabs>
          <w:tab w:val="left" w:pos="90"/>
        </w:tabs>
        <w:ind w:firstLine="810"/>
        <w:rPr>
          <w:bCs/>
          <w:noProof/>
          <w:sz w:val="22"/>
          <w:szCs w:val="22"/>
        </w:rPr>
      </w:pPr>
    </w:p>
    <w:p w:rsidR="00C62016" w:rsidRPr="006449B7" w:rsidRDefault="002C612D" w:rsidP="00C62016">
      <w:pPr>
        <w:pStyle w:val="ListParagraph"/>
        <w:numPr>
          <w:ilvl w:val="0"/>
          <w:numId w:val="9"/>
        </w:numPr>
        <w:tabs>
          <w:tab w:val="decimal" w:pos="360"/>
        </w:tabs>
        <w:spacing w:after="0" w:line="240" w:lineRule="auto"/>
        <w:ind w:hanging="720"/>
        <w:jc w:val="both"/>
        <w:rPr>
          <w:rFonts w:ascii="Times New Roman" w:hAnsi="Times New Roman"/>
          <w:b/>
          <w:spacing w:val="-5"/>
        </w:rPr>
      </w:pPr>
      <w:r w:rsidRPr="006449B7">
        <w:rPr>
          <w:rFonts w:ascii="Times New Roman" w:hAnsi="Times New Roman"/>
          <w:b/>
          <w:spacing w:val="-5"/>
        </w:rPr>
        <w:t>Schimbări preconizate și rezultate așteptate</w:t>
      </w:r>
    </w:p>
    <w:p w:rsidR="00F04B20" w:rsidRPr="006449B7" w:rsidRDefault="00F04B20" w:rsidP="00F04B20">
      <w:pPr>
        <w:pStyle w:val="ListParagraph"/>
        <w:tabs>
          <w:tab w:val="decimal" w:pos="360"/>
        </w:tabs>
        <w:spacing w:after="0" w:line="240" w:lineRule="auto"/>
        <w:jc w:val="both"/>
        <w:rPr>
          <w:rFonts w:ascii="Times New Roman" w:hAnsi="Times New Roman"/>
          <w:b/>
          <w:spacing w:val="-5"/>
        </w:rPr>
      </w:pPr>
    </w:p>
    <w:p w:rsidR="00DB4CA1" w:rsidRPr="006449B7" w:rsidRDefault="00F04B20" w:rsidP="00DB4CA1">
      <w:pPr>
        <w:keepNext/>
        <w:widowControl w:val="0"/>
        <w:tabs>
          <w:tab w:val="left" w:pos="90"/>
        </w:tabs>
        <w:jc w:val="both"/>
        <w:rPr>
          <w:noProof/>
          <w:sz w:val="22"/>
          <w:szCs w:val="22"/>
        </w:rPr>
      </w:pPr>
      <w:r w:rsidRPr="006449B7">
        <w:rPr>
          <w:sz w:val="22"/>
          <w:szCs w:val="22"/>
        </w:rPr>
        <w:t xml:space="preserve">      </w:t>
      </w:r>
      <w:r w:rsidR="00DB4CA1" w:rsidRPr="006449B7">
        <w:rPr>
          <w:noProof/>
          <w:sz w:val="22"/>
          <w:szCs w:val="22"/>
        </w:rPr>
        <w:t>Proiectul de investiţii urmăreşte îmbunătăţirea condiţiilor de învăţământ şi de desfăşurare a actului didactic pentru copiii şi personalul Grădiniţei cu Program Prelungit nr.6 Timişoara, prin reabilitarea termică şi adoptarea unor măsuri de creştere a eficienţei energetice a cladirii aferente, după implementare.</w:t>
      </w:r>
    </w:p>
    <w:p w:rsidR="00DB4CA1" w:rsidRPr="006449B7" w:rsidRDefault="00DB4CA1" w:rsidP="00DB4CA1">
      <w:pPr>
        <w:tabs>
          <w:tab w:val="left" w:pos="90"/>
        </w:tabs>
        <w:rPr>
          <w:noProof/>
          <w:sz w:val="22"/>
          <w:szCs w:val="22"/>
        </w:rPr>
      </w:pPr>
      <w:r w:rsidRPr="006449B7">
        <w:rPr>
          <w:noProof/>
          <w:sz w:val="22"/>
          <w:szCs w:val="22"/>
        </w:rPr>
        <w:t>Iniţiativa investiţională propusă se încadrează în obiectivele SIDU 2015 – 2020 Polul de Creștere Timişoara – OS 3: Asigurarea unui mediu social intercultural, coeziv şi dinamic, favorabil progresului şi incluziunii (Programul P.3.4: Consolidarea unui învăţământ dinamic şi atractiv, adaptat cerinţelor pieţei muncii, vector al dezvoltării inteligente; Măsura M.3.4.2: Construcţia, extinderea, modernizarea şi dotarea spaţiilor de învăţământ) şi OS 4: Asigurarea unui habitat ecologic, confortabil şi atractiv (Măsura M.4.2.3: Eficientizarea energetică a clădirilor publice şi rezidenţiale; Proiectul nr. 337 – Reabilitarea termică a unităţilor de învăţământ preşcolar din Municipiul Timisoara.</w:t>
      </w:r>
    </w:p>
    <w:p w:rsidR="00CF329F" w:rsidRPr="006449B7" w:rsidRDefault="006A42B0" w:rsidP="00DB4CA1">
      <w:pPr>
        <w:tabs>
          <w:tab w:val="left" w:pos="851"/>
        </w:tabs>
        <w:jc w:val="both"/>
        <w:rPr>
          <w:iCs/>
          <w:sz w:val="22"/>
          <w:szCs w:val="22"/>
        </w:rPr>
      </w:pPr>
      <w:r w:rsidRPr="006449B7">
        <w:rPr>
          <w:b/>
          <w:color w:val="000000"/>
          <w:sz w:val="22"/>
          <w:szCs w:val="22"/>
        </w:rPr>
        <w:t xml:space="preserve">Aprobarea Devizului General și ulterior </w:t>
      </w:r>
      <w:r w:rsidR="00CF329F" w:rsidRPr="006449B7">
        <w:rPr>
          <w:b/>
          <w:color w:val="000000"/>
          <w:sz w:val="22"/>
          <w:szCs w:val="22"/>
        </w:rPr>
        <w:t>execuția lucrărilor de conform</w:t>
      </w:r>
      <w:r w:rsidR="00E07B99">
        <w:rPr>
          <w:b/>
          <w:color w:val="000000"/>
          <w:sz w:val="22"/>
          <w:szCs w:val="22"/>
        </w:rPr>
        <w:t>a</w:t>
      </w:r>
      <w:r w:rsidR="00CF329F" w:rsidRPr="006449B7">
        <w:rPr>
          <w:b/>
          <w:color w:val="000000"/>
          <w:sz w:val="22"/>
          <w:szCs w:val="22"/>
        </w:rPr>
        <w:t>re</w:t>
      </w:r>
      <w:r w:rsidR="00905466" w:rsidRPr="006449B7">
        <w:rPr>
          <w:b/>
          <w:color w:val="000000"/>
          <w:sz w:val="22"/>
          <w:szCs w:val="22"/>
        </w:rPr>
        <w:t xml:space="preserve"> prevăzute în </w:t>
      </w:r>
      <w:r w:rsidR="00DB4CA1" w:rsidRPr="006449B7">
        <w:rPr>
          <w:b/>
          <w:color w:val="000000"/>
          <w:sz w:val="22"/>
          <w:szCs w:val="22"/>
        </w:rPr>
        <w:t>documentatie</w:t>
      </w:r>
      <w:r w:rsidR="00FC56A7">
        <w:rPr>
          <w:b/>
          <w:color w:val="000000"/>
          <w:sz w:val="22"/>
          <w:szCs w:val="22"/>
        </w:rPr>
        <w:t>,</w:t>
      </w:r>
      <w:r w:rsidRPr="006449B7">
        <w:rPr>
          <w:b/>
          <w:color w:val="000000"/>
          <w:sz w:val="22"/>
          <w:szCs w:val="22"/>
        </w:rPr>
        <w:t xml:space="preserve"> vor</w:t>
      </w:r>
      <w:r w:rsidR="00CF329F" w:rsidRPr="006449B7">
        <w:rPr>
          <w:b/>
          <w:color w:val="000000"/>
          <w:sz w:val="22"/>
          <w:szCs w:val="22"/>
        </w:rPr>
        <w:t xml:space="preserve"> conduc</w:t>
      </w:r>
      <w:r w:rsidRPr="006449B7">
        <w:rPr>
          <w:b/>
          <w:color w:val="000000"/>
          <w:sz w:val="22"/>
          <w:szCs w:val="22"/>
        </w:rPr>
        <w:t xml:space="preserve">e în final la </w:t>
      </w:r>
      <w:r w:rsidR="00CF329F" w:rsidRPr="006449B7">
        <w:rPr>
          <w:b/>
          <w:color w:val="000000"/>
          <w:sz w:val="22"/>
          <w:szCs w:val="22"/>
        </w:rPr>
        <w:t xml:space="preserve">obținerea </w:t>
      </w:r>
      <w:r w:rsidR="00DB4CA1" w:rsidRPr="006449B7">
        <w:rPr>
          <w:b/>
          <w:color w:val="000000"/>
          <w:sz w:val="22"/>
          <w:szCs w:val="22"/>
        </w:rPr>
        <w:t xml:space="preserve">cresterii </w:t>
      </w:r>
      <w:r w:rsidR="002E612A">
        <w:rPr>
          <w:b/>
          <w:color w:val="000000"/>
          <w:sz w:val="22"/>
          <w:szCs w:val="22"/>
        </w:rPr>
        <w:t xml:space="preserve">eficientei </w:t>
      </w:r>
      <w:r w:rsidR="00DB4CA1" w:rsidRPr="006449B7">
        <w:rPr>
          <w:b/>
          <w:color w:val="000000"/>
          <w:sz w:val="22"/>
          <w:szCs w:val="22"/>
        </w:rPr>
        <w:t>energetice</w:t>
      </w:r>
      <w:r w:rsidR="00CF329F" w:rsidRPr="006449B7">
        <w:rPr>
          <w:b/>
          <w:color w:val="000000"/>
          <w:sz w:val="22"/>
          <w:szCs w:val="22"/>
        </w:rPr>
        <w:t xml:space="preserve"> a clădirii situate la adresa Timișoara</w:t>
      </w:r>
      <w:r w:rsidR="00CF329F" w:rsidRPr="006449B7">
        <w:rPr>
          <w:color w:val="000000"/>
          <w:sz w:val="22"/>
          <w:szCs w:val="22"/>
        </w:rPr>
        <w:t xml:space="preserve">, </w:t>
      </w:r>
      <w:r w:rsidR="00DB4CA1" w:rsidRPr="006449B7">
        <w:rPr>
          <w:b/>
          <w:sz w:val="22"/>
          <w:szCs w:val="22"/>
        </w:rPr>
        <w:t>Str. Tepes Voda( Ismail), nr. 17, jud.Timis</w:t>
      </w:r>
      <w:r w:rsidR="00DB4CA1" w:rsidRPr="006449B7">
        <w:rPr>
          <w:sz w:val="22"/>
          <w:szCs w:val="22"/>
        </w:rPr>
        <w:t xml:space="preserve"> </w:t>
      </w:r>
      <w:r w:rsidR="00CF329F" w:rsidRPr="006449B7">
        <w:rPr>
          <w:b/>
          <w:color w:val="000000"/>
          <w:sz w:val="22"/>
          <w:szCs w:val="22"/>
        </w:rPr>
        <w:t xml:space="preserve">- </w:t>
      </w:r>
      <w:r w:rsidRPr="006449B7">
        <w:rPr>
          <w:b/>
          <w:color w:val="000000"/>
          <w:sz w:val="22"/>
          <w:szCs w:val="22"/>
        </w:rPr>
        <w:t xml:space="preserve">în care funcționează în prezent </w:t>
      </w:r>
      <w:r w:rsidR="00DB4CA1" w:rsidRPr="006449B7">
        <w:rPr>
          <w:b/>
          <w:sz w:val="22"/>
          <w:szCs w:val="22"/>
          <w:lang w:val="it-IT"/>
        </w:rPr>
        <w:t>Gradinita PP 6</w:t>
      </w:r>
    </w:p>
    <w:p w:rsidR="006A42B0" w:rsidRPr="006449B7" w:rsidRDefault="006A42B0" w:rsidP="00F04B20">
      <w:pPr>
        <w:autoSpaceDE w:val="0"/>
        <w:autoSpaceDN w:val="0"/>
        <w:adjustRightInd w:val="0"/>
        <w:jc w:val="both"/>
        <w:rPr>
          <w:b/>
          <w:sz w:val="22"/>
          <w:szCs w:val="22"/>
          <w:u w:val="single"/>
        </w:rPr>
      </w:pPr>
    </w:p>
    <w:p w:rsidR="00DB4CA1" w:rsidRPr="006449B7" w:rsidRDefault="00DB4CA1" w:rsidP="00C84C28">
      <w:pPr>
        <w:jc w:val="both"/>
        <w:rPr>
          <w:b/>
          <w:spacing w:val="-1"/>
          <w:sz w:val="22"/>
          <w:szCs w:val="22"/>
        </w:rPr>
      </w:pPr>
    </w:p>
    <w:p w:rsidR="00DB4CA1" w:rsidRPr="006449B7" w:rsidRDefault="00DB4CA1" w:rsidP="00C84C28">
      <w:pPr>
        <w:jc w:val="both"/>
        <w:rPr>
          <w:b/>
          <w:spacing w:val="-1"/>
          <w:sz w:val="22"/>
          <w:szCs w:val="22"/>
        </w:rPr>
      </w:pPr>
    </w:p>
    <w:p w:rsidR="00DB4CA1" w:rsidRPr="006449B7" w:rsidRDefault="00DB4CA1" w:rsidP="00C84C28">
      <w:pPr>
        <w:jc w:val="both"/>
        <w:rPr>
          <w:b/>
          <w:spacing w:val="-1"/>
          <w:sz w:val="22"/>
          <w:szCs w:val="22"/>
        </w:rPr>
      </w:pPr>
    </w:p>
    <w:p w:rsidR="00986934" w:rsidRPr="006449B7" w:rsidRDefault="00C84C28" w:rsidP="00C84C28">
      <w:pPr>
        <w:jc w:val="both"/>
        <w:rPr>
          <w:b/>
          <w:spacing w:val="-1"/>
          <w:sz w:val="22"/>
          <w:szCs w:val="22"/>
        </w:rPr>
      </w:pPr>
      <w:r w:rsidRPr="006449B7">
        <w:rPr>
          <w:b/>
          <w:spacing w:val="-1"/>
          <w:sz w:val="22"/>
          <w:szCs w:val="22"/>
        </w:rPr>
        <w:t>3.</w:t>
      </w:r>
      <w:r w:rsidR="00917484" w:rsidRPr="006449B7">
        <w:rPr>
          <w:b/>
          <w:spacing w:val="-1"/>
          <w:sz w:val="22"/>
          <w:szCs w:val="22"/>
        </w:rPr>
        <w:t>Alte informatii</w:t>
      </w:r>
    </w:p>
    <w:p w:rsidR="00905466" w:rsidRPr="006449B7" w:rsidRDefault="00905466" w:rsidP="00C84C28">
      <w:pPr>
        <w:jc w:val="both"/>
        <w:rPr>
          <w:b/>
          <w:spacing w:val="-1"/>
          <w:sz w:val="22"/>
          <w:szCs w:val="22"/>
        </w:rPr>
      </w:pPr>
      <w:r w:rsidRPr="006449B7">
        <w:rPr>
          <w:b/>
          <w:spacing w:val="-1"/>
          <w:sz w:val="22"/>
          <w:szCs w:val="22"/>
        </w:rPr>
        <w:t xml:space="preserve">  </w:t>
      </w:r>
    </w:p>
    <w:p w:rsidR="00D7157A" w:rsidRPr="006449B7" w:rsidRDefault="00D7157A" w:rsidP="00D7157A">
      <w:pPr>
        <w:jc w:val="both"/>
        <w:rPr>
          <w:sz w:val="22"/>
          <w:szCs w:val="22"/>
        </w:rPr>
      </w:pPr>
      <w:r w:rsidRPr="006449B7">
        <w:rPr>
          <w:sz w:val="22"/>
          <w:szCs w:val="22"/>
        </w:rPr>
        <w:t xml:space="preserve">    Costurile pentru realizarea investitiei conform Devizului General sunt următoarele:</w:t>
      </w:r>
    </w:p>
    <w:p w:rsidR="00D7157A" w:rsidRPr="006449B7" w:rsidRDefault="00986934" w:rsidP="00D7157A">
      <w:pPr>
        <w:jc w:val="both"/>
        <w:rPr>
          <w:b/>
          <w:sz w:val="22"/>
          <w:szCs w:val="22"/>
          <w:lang w:eastAsia="ro-RO"/>
        </w:rPr>
      </w:pPr>
      <w:r w:rsidRPr="006449B7">
        <w:rPr>
          <w:b/>
          <w:sz w:val="22"/>
          <w:szCs w:val="22"/>
          <w:lang w:eastAsia="ro-RO"/>
        </w:rPr>
        <w:t xml:space="preserve">           </w:t>
      </w:r>
      <w:r w:rsidR="00D7157A" w:rsidRPr="006449B7">
        <w:rPr>
          <w:b/>
          <w:sz w:val="22"/>
          <w:szCs w:val="22"/>
          <w:lang w:eastAsia="ro-RO"/>
        </w:rPr>
        <w:t>Valoarea totală estimată a investiţiei</w:t>
      </w:r>
      <w:bookmarkStart w:id="0" w:name="_GoBack"/>
      <w:bookmarkEnd w:id="0"/>
      <w:r w:rsidR="00D7157A" w:rsidRPr="006449B7">
        <w:rPr>
          <w:b/>
          <w:sz w:val="22"/>
          <w:szCs w:val="22"/>
          <w:lang w:eastAsia="ro-RO"/>
        </w:rPr>
        <w:t xml:space="preserve"> conform Devizului General , </w:t>
      </w:r>
    </w:p>
    <w:p w:rsidR="009E0572" w:rsidRPr="006449B7" w:rsidRDefault="009E0572" w:rsidP="009E0572">
      <w:pPr>
        <w:tabs>
          <w:tab w:val="left" w:pos="5145"/>
        </w:tabs>
        <w:autoSpaceDE w:val="0"/>
        <w:jc w:val="both"/>
        <w:rPr>
          <w:b/>
          <w:sz w:val="22"/>
          <w:szCs w:val="22"/>
        </w:rPr>
      </w:pPr>
      <w:r w:rsidRPr="006449B7">
        <w:rPr>
          <w:b/>
          <w:sz w:val="22"/>
          <w:szCs w:val="22"/>
          <w:lang w:eastAsia="ro-RO"/>
        </w:rPr>
        <w:t xml:space="preserve">                  2</w:t>
      </w:r>
      <w:r w:rsidRPr="006449B7">
        <w:rPr>
          <w:b/>
          <w:sz w:val="22"/>
          <w:szCs w:val="22"/>
        </w:rPr>
        <w:t>.776.215,11  lei fără TVA  respectiv  3.303.695,98 lei inclusiv TVA</w:t>
      </w:r>
      <w:r w:rsidRPr="006449B7">
        <w:rPr>
          <w:b/>
          <w:sz w:val="22"/>
          <w:szCs w:val="22"/>
        </w:rPr>
        <w:tab/>
      </w:r>
    </w:p>
    <w:p w:rsidR="009E0572" w:rsidRPr="006449B7" w:rsidRDefault="009E0572" w:rsidP="009E0572">
      <w:pPr>
        <w:jc w:val="both"/>
        <w:rPr>
          <w:b/>
          <w:sz w:val="22"/>
          <w:szCs w:val="22"/>
          <w:lang w:eastAsia="ro-RO"/>
        </w:rPr>
      </w:pPr>
      <w:r w:rsidRPr="006449B7">
        <w:rPr>
          <w:b/>
          <w:sz w:val="22"/>
          <w:szCs w:val="22"/>
        </w:rPr>
        <w:t xml:space="preserve">           din care   valoarea  C+M</w:t>
      </w:r>
      <w:r w:rsidRPr="006449B7">
        <w:rPr>
          <w:sz w:val="22"/>
          <w:szCs w:val="22"/>
        </w:rPr>
        <w:t xml:space="preserve">: </w:t>
      </w:r>
      <w:r w:rsidRPr="006449B7">
        <w:rPr>
          <w:b/>
          <w:sz w:val="22"/>
          <w:szCs w:val="22"/>
          <w:lang w:eastAsia="ro-RO"/>
        </w:rPr>
        <w:t xml:space="preserve">        </w:t>
      </w:r>
    </w:p>
    <w:p w:rsidR="009E0572" w:rsidRPr="006449B7" w:rsidRDefault="009E0572" w:rsidP="009E0572">
      <w:pPr>
        <w:jc w:val="both"/>
        <w:rPr>
          <w:b/>
          <w:sz w:val="22"/>
          <w:szCs w:val="22"/>
          <w:lang w:eastAsia="ro-RO"/>
        </w:rPr>
      </w:pPr>
      <w:r w:rsidRPr="006449B7">
        <w:rPr>
          <w:b/>
          <w:sz w:val="22"/>
          <w:szCs w:val="22"/>
          <w:lang w:eastAsia="ro-RO"/>
        </w:rPr>
        <w:t xml:space="preserve">                 1.305.000</w:t>
      </w:r>
      <w:r w:rsidRPr="006449B7">
        <w:rPr>
          <w:b/>
          <w:sz w:val="22"/>
          <w:szCs w:val="22"/>
        </w:rPr>
        <w:t>,00 lei  fără TVA</w:t>
      </w:r>
      <w:r w:rsidRPr="006449B7">
        <w:rPr>
          <w:b/>
          <w:sz w:val="22"/>
          <w:szCs w:val="22"/>
          <w:lang w:eastAsia="ro-RO"/>
        </w:rPr>
        <w:t xml:space="preserve">  respectiv  1.552.950,00 lei  inclusiv TVA </w:t>
      </w:r>
    </w:p>
    <w:p w:rsidR="00D7157A" w:rsidRPr="006449B7" w:rsidRDefault="00986934" w:rsidP="00D7157A">
      <w:pPr>
        <w:jc w:val="both"/>
        <w:rPr>
          <w:sz w:val="22"/>
          <w:szCs w:val="22"/>
          <w:lang w:eastAsia="ro-RO"/>
        </w:rPr>
      </w:pPr>
      <w:r w:rsidRPr="006449B7">
        <w:rPr>
          <w:sz w:val="22"/>
          <w:szCs w:val="22"/>
        </w:rPr>
        <w:t xml:space="preserve">     </w:t>
      </w:r>
      <w:r w:rsidR="00D7157A" w:rsidRPr="006449B7">
        <w:rPr>
          <w:sz w:val="22"/>
          <w:szCs w:val="22"/>
        </w:rPr>
        <w:t>Durata de re</w:t>
      </w:r>
      <w:r w:rsidR="00E54DBF" w:rsidRPr="006449B7">
        <w:rPr>
          <w:sz w:val="22"/>
          <w:szCs w:val="22"/>
        </w:rPr>
        <w:t>alizare a investitiei este de  12</w:t>
      </w:r>
      <w:r w:rsidR="00D7157A" w:rsidRPr="006449B7">
        <w:rPr>
          <w:sz w:val="22"/>
          <w:szCs w:val="22"/>
        </w:rPr>
        <w:t xml:space="preserve"> luni.</w:t>
      </w:r>
    </w:p>
    <w:p w:rsidR="00BB1C52" w:rsidRPr="006449B7" w:rsidRDefault="00BB1C52" w:rsidP="00D7157A">
      <w:pPr>
        <w:widowControl w:val="0"/>
        <w:jc w:val="both"/>
        <w:rPr>
          <w:snapToGrid w:val="0"/>
          <w:sz w:val="22"/>
          <w:szCs w:val="22"/>
        </w:rPr>
      </w:pPr>
    </w:p>
    <w:p w:rsidR="00BB1C52" w:rsidRPr="006449B7" w:rsidRDefault="00BB1C52"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6449B7" w:rsidRPr="006449B7" w:rsidRDefault="006449B7" w:rsidP="00917484">
      <w:pPr>
        <w:jc w:val="both"/>
        <w:rPr>
          <w:snapToGrid w:val="0"/>
          <w:sz w:val="22"/>
          <w:szCs w:val="22"/>
          <w:lang w:val="fr-FR"/>
        </w:rPr>
      </w:pPr>
    </w:p>
    <w:p w:rsidR="00917484" w:rsidRPr="006449B7" w:rsidRDefault="00917484" w:rsidP="0090415F">
      <w:pPr>
        <w:jc w:val="both"/>
        <w:rPr>
          <w:b/>
          <w:spacing w:val="-1"/>
          <w:sz w:val="22"/>
          <w:szCs w:val="22"/>
        </w:rPr>
      </w:pPr>
      <w:r w:rsidRPr="006449B7">
        <w:rPr>
          <w:b/>
          <w:spacing w:val="-1"/>
          <w:sz w:val="22"/>
          <w:szCs w:val="22"/>
        </w:rPr>
        <w:t>4.Concluzii</w:t>
      </w:r>
    </w:p>
    <w:p w:rsidR="00FC3F7A" w:rsidRPr="006449B7" w:rsidRDefault="002C612D" w:rsidP="002C612D">
      <w:pPr>
        <w:jc w:val="both"/>
        <w:rPr>
          <w:sz w:val="22"/>
          <w:szCs w:val="22"/>
          <w:lang w:eastAsia="ro-RO"/>
        </w:rPr>
      </w:pPr>
      <w:r w:rsidRPr="006449B7">
        <w:rPr>
          <w:sz w:val="22"/>
          <w:szCs w:val="22"/>
          <w:lang w:eastAsia="ro-RO"/>
        </w:rPr>
        <w:t xml:space="preserve">     </w:t>
      </w:r>
    </w:p>
    <w:p w:rsidR="00A6601C" w:rsidRPr="006449B7" w:rsidRDefault="002C612D" w:rsidP="002C612D">
      <w:pPr>
        <w:jc w:val="both"/>
        <w:rPr>
          <w:sz w:val="22"/>
          <w:szCs w:val="22"/>
        </w:rPr>
      </w:pPr>
      <w:r w:rsidRPr="006449B7">
        <w:rPr>
          <w:sz w:val="22"/>
          <w:szCs w:val="22"/>
          <w:lang w:eastAsia="ro-RO"/>
        </w:rPr>
        <w:t xml:space="preserve">Urmare a celor prezentate mai sus, considerăm oportună </w:t>
      </w:r>
      <w:r w:rsidRPr="006449B7">
        <w:rPr>
          <w:sz w:val="22"/>
          <w:szCs w:val="22"/>
        </w:rPr>
        <w:t xml:space="preserve">aprobarea prin HCL </w:t>
      </w:r>
      <w:r w:rsidRPr="006449B7">
        <w:rPr>
          <w:bCs/>
          <w:sz w:val="22"/>
          <w:szCs w:val="22"/>
          <w:lang w:eastAsia="ro-RO"/>
        </w:rPr>
        <w:t xml:space="preserve">a </w:t>
      </w:r>
      <w:r w:rsidRPr="006449B7">
        <w:rPr>
          <w:sz w:val="22"/>
          <w:szCs w:val="22"/>
        </w:rPr>
        <w:t>indicator</w:t>
      </w:r>
      <w:r w:rsidR="004A6086" w:rsidRPr="006449B7">
        <w:rPr>
          <w:sz w:val="22"/>
          <w:szCs w:val="22"/>
        </w:rPr>
        <w:t>ilor tehnico-economici</w:t>
      </w:r>
      <w:r w:rsidR="00C0313E" w:rsidRPr="006449B7">
        <w:rPr>
          <w:sz w:val="22"/>
          <w:szCs w:val="22"/>
        </w:rPr>
        <w:t>, prevăzuț</w:t>
      </w:r>
      <w:r w:rsidRPr="006449B7">
        <w:rPr>
          <w:sz w:val="22"/>
          <w:szCs w:val="22"/>
        </w:rPr>
        <w:t xml:space="preserve">i in </w:t>
      </w:r>
      <w:r w:rsidRPr="006449B7">
        <w:rPr>
          <w:b/>
          <w:sz w:val="22"/>
          <w:szCs w:val="22"/>
        </w:rPr>
        <w:t>Anexa 1</w:t>
      </w:r>
      <w:r w:rsidR="007C29D0" w:rsidRPr="006449B7">
        <w:rPr>
          <w:sz w:val="22"/>
          <w:szCs w:val="22"/>
        </w:rPr>
        <w:t xml:space="preserve"> și Devizului General </w:t>
      </w:r>
      <w:r w:rsidR="00851DBA" w:rsidRPr="006449B7">
        <w:rPr>
          <w:sz w:val="22"/>
          <w:szCs w:val="22"/>
        </w:rPr>
        <w:t xml:space="preserve"> prevazut î</w:t>
      </w:r>
      <w:r w:rsidRPr="006449B7">
        <w:rPr>
          <w:sz w:val="22"/>
          <w:szCs w:val="22"/>
        </w:rPr>
        <w:t xml:space="preserve">n </w:t>
      </w:r>
      <w:r w:rsidRPr="006449B7">
        <w:rPr>
          <w:b/>
          <w:sz w:val="22"/>
          <w:szCs w:val="22"/>
        </w:rPr>
        <w:t>Anexa 2</w:t>
      </w:r>
      <w:r w:rsidR="00BB5AC2" w:rsidRPr="006449B7">
        <w:rPr>
          <w:sz w:val="22"/>
          <w:szCs w:val="22"/>
        </w:rPr>
        <w:t>, pentru obiectivul de investitii</w:t>
      </w:r>
      <w:r w:rsidRPr="006449B7">
        <w:rPr>
          <w:sz w:val="22"/>
          <w:szCs w:val="22"/>
        </w:rPr>
        <w:t xml:space="preserve"> </w:t>
      </w:r>
      <w:r w:rsidR="007036FA" w:rsidRPr="006449B7">
        <w:rPr>
          <w:sz w:val="22"/>
          <w:szCs w:val="22"/>
          <w:lang w:val="fr-FR"/>
        </w:rPr>
        <w:t>,</w:t>
      </w:r>
      <w:r w:rsidR="00CC68B3" w:rsidRPr="006449B7">
        <w:rPr>
          <w:sz w:val="22"/>
          <w:szCs w:val="22"/>
        </w:rPr>
        <w:t xml:space="preserve"> ”AUDIT ENERGETIC+DALI+PT- Reabilitare termica  gradinita cu program prelungit nr.6”, situat în Timisoara, Str. Tepes Voda( Ismail), nr. 17, jud Timis</w:t>
      </w:r>
    </w:p>
    <w:p w:rsidR="00CC68B3" w:rsidRPr="006449B7" w:rsidRDefault="00CC68B3" w:rsidP="002C612D">
      <w:pPr>
        <w:jc w:val="both"/>
        <w:rPr>
          <w:sz w:val="22"/>
          <w:szCs w:val="22"/>
        </w:rPr>
      </w:pPr>
    </w:p>
    <w:p w:rsidR="00CC68B3" w:rsidRPr="006449B7" w:rsidRDefault="00CC68B3" w:rsidP="002C612D">
      <w:pPr>
        <w:jc w:val="both"/>
        <w:rPr>
          <w:sz w:val="22"/>
          <w:szCs w:val="22"/>
        </w:rPr>
      </w:pPr>
    </w:p>
    <w:p w:rsidR="00CC68B3" w:rsidRPr="006449B7" w:rsidRDefault="00CC68B3" w:rsidP="002C612D">
      <w:pPr>
        <w:jc w:val="both"/>
        <w:rPr>
          <w:b/>
          <w:sz w:val="22"/>
          <w:szCs w:val="22"/>
          <w:lang w:val="it-IT"/>
        </w:rPr>
      </w:pPr>
    </w:p>
    <w:p w:rsidR="005B476A" w:rsidRPr="006449B7" w:rsidRDefault="005B476A" w:rsidP="002C612D">
      <w:pPr>
        <w:jc w:val="both"/>
        <w:rPr>
          <w:b/>
          <w:sz w:val="22"/>
          <w:szCs w:val="22"/>
          <w:lang w:val="it-IT"/>
        </w:rPr>
      </w:pPr>
    </w:p>
    <w:p w:rsidR="00E54DBF" w:rsidRPr="006449B7" w:rsidRDefault="00E54DBF" w:rsidP="002C612D">
      <w:pPr>
        <w:jc w:val="both"/>
        <w:rPr>
          <w:b/>
          <w:sz w:val="22"/>
          <w:szCs w:val="22"/>
          <w:lang w:val="it-IT"/>
        </w:rPr>
      </w:pPr>
    </w:p>
    <w:p w:rsidR="00373773" w:rsidRPr="00C123F4" w:rsidRDefault="00373773" w:rsidP="002C612D">
      <w:pPr>
        <w:jc w:val="both"/>
        <w:rPr>
          <w:sz w:val="22"/>
          <w:szCs w:val="22"/>
          <w:lang w:val="it-IT"/>
        </w:rPr>
      </w:pPr>
    </w:p>
    <w:p w:rsidR="00D7157A" w:rsidRPr="00C123F4" w:rsidRDefault="00D7157A" w:rsidP="005F07DB">
      <w:pPr>
        <w:tabs>
          <w:tab w:val="left" w:pos="5940"/>
        </w:tabs>
        <w:jc w:val="both"/>
        <w:rPr>
          <w:sz w:val="22"/>
          <w:szCs w:val="22"/>
          <w:lang w:val="it-IT"/>
        </w:rPr>
      </w:pPr>
      <w:r w:rsidRPr="00C123F4">
        <w:rPr>
          <w:sz w:val="22"/>
          <w:szCs w:val="22"/>
          <w:lang w:val="it-IT"/>
        </w:rPr>
        <w:t xml:space="preserve">                 PRIMAR</w:t>
      </w:r>
      <w:r w:rsidR="005F07DB" w:rsidRPr="00C123F4">
        <w:rPr>
          <w:sz w:val="22"/>
          <w:szCs w:val="22"/>
          <w:lang w:val="it-IT"/>
        </w:rPr>
        <w:tab/>
        <w:t>VICEPRIMAR</w:t>
      </w:r>
    </w:p>
    <w:p w:rsidR="00F14541" w:rsidRPr="00C123F4" w:rsidRDefault="00D7157A" w:rsidP="005F07DB">
      <w:pPr>
        <w:tabs>
          <w:tab w:val="left" w:pos="720"/>
          <w:tab w:val="left" w:pos="1440"/>
          <w:tab w:val="left" w:pos="2160"/>
          <w:tab w:val="left" w:pos="2880"/>
          <w:tab w:val="left" w:pos="3600"/>
          <w:tab w:val="left" w:pos="5940"/>
        </w:tabs>
        <w:jc w:val="both"/>
        <w:rPr>
          <w:sz w:val="22"/>
          <w:szCs w:val="22"/>
          <w:lang w:val="it-IT"/>
        </w:rPr>
      </w:pPr>
      <w:r w:rsidRPr="00C123F4">
        <w:rPr>
          <w:sz w:val="22"/>
          <w:szCs w:val="22"/>
          <w:lang w:val="it-IT"/>
        </w:rPr>
        <w:t xml:space="preserve">          DOMINIC FRIT</w:t>
      </w:r>
      <w:r w:rsidR="00373773" w:rsidRPr="00C123F4">
        <w:rPr>
          <w:sz w:val="22"/>
          <w:szCs w:val="22"/>
          <w:lang w:val="it-IT"/>
        </w:rPr>
        <w:t>Z</w:t>
      </w:r>
      <w:r w:rsidRPr="00C123F4">
        <w:rPr>
          <w:sz w:val="22"/>
          <w:szCs w:val="22"/>
        </w:rPr>
        <w:tab/>
      </w:r>
      <w:r w:rsidRPr="00C123F4">
        <w:rPr>
          <w:sz w:val="22"/>
          <w:szCs w:val="22"/>
        </w:rPr>
        <w:tab/>
      </w:r>
      <w:r w:rsidR="005F07DB" w:rsidRPr="00C123F4">
        <w:rPr>
          <w:sz w:val="22"/>
          <w:szCs w:val="22"/>
        </w:rPr>
        <w:t xml:space="preserve">                                    RUBEN LAȚCĂU</w:t>
      </w:r>
    </w:p>
    <w:p w:rsidR="00F14541" w:rsidRPr="00C123F4" w:rsidRDefault="00F14541" w:rsidP="00D7157A">
      <w:pPr>
        <w:ind w:firstLine="360"/>
        <w:jc w:val="right"/>
        <w:rPr>
          <w:sz w:val="22"/>
          <w:szCs w:val="22"/>
        </w:rPr>
      </w:pPr>
    </w:p>
    <w:p w:rsidR="00F14541" w:rsidRPr="00C123F4" w:rsidRDefault="00F14541" w:rsidP="00D7157A">
      <w:pPr>
        <w:ind w:firstLine="360"/>
        <w:jc w:val="right"/>
        <w:rPr>
          <w:sz w:val="22"/>
          <w:szCs w:val="22"/>
        </w:rPr>
      </w:pPr>
    </w:p>
    <w:p w:rsidR="00D7157A" w:rsidRPr="00C123F4" w:rsidRDefault="00D7157A" w:rsidP="00D7157A">
      <w:pPr>
        <w:ind w:firstLine="360"/>
        <w:jc w:val="right"/>
        <w:rPr>
          <w:sz w:val="22"/>
          <w:szCs w:val="22"/>
        </w:rPr>
      </w:pPr>
      <w:r w:rsidRPr="00C123F4">
        <w:rPr>
          <w:sz w:val="22"/>
          <w:szCs w:val="22"/>
        </w:rPr>
        <w:tab/>
      </w:r>
    </w:p>
    <w:p w:rsidR="00D7157A" w:rsidRPr="00C123F4" w:rsidRDefault="00D7157A" w:rsidP="00D7157A">
      <w:pPr>
        <w:jc w:val="right"/>
        <w:rPr>
          <w:sz w:val="22"/>
          <w:szCs w:val="22"/>
        </w:rPr>
      </w:pPr>
    </w:p>
    <w:p w:rsidR="00E54DBF" w:rsidRPr="00C123F4" w:rsidRDefault="00E54DBF" w:rsidP="00D7157A">
      <w:pPr>
        <w:jc w:val="right"/>
        <w:rPr>
          <w:sz w:val="22"/>
          <w:szCs w:val="22"/>
        </w:rPr>
      </w:pPr>
    </w:p>
    <w:p w:rsidR="00E54DBF" w:rsidRPr="00C123F4" w:rsidRDefault="00E54DBF" w:rsidP="00D7157A">
      <w:pPr>
        <w:jc w:val="right"/>
        <w:rPr>
          <w:sz w:val="22"/>
          <w:szCs w:val="22"/>
        </w:rPr>
      </w:pPr>
    </w:p>
    <w:p w:rsidR="00F14541" w:rsidRPr="00C123F4" w:rsidRDefault="00F14541" w:rsidP="00D7157A">
      <w:pPr>
        <w:jc w:val="right"/>
        <w:rPr>
          <w:sz w:val="22"/>
          <w:szCs w:val="22"/>
        </w:rPr>
      </w:pPr>
      <w:r w:rsidRPr="00C123F4">
        <w:rPr>
          <w:sz w:val="22"/>
          <w:szCs w:val="22"/>
        </w:rPr>
        <w:t xml:space="preserve">                                        </w:t>
      </w:r>
      <w:r w:rsidR="006449B7" w:rsidRPr="00C123F4">
        <w:rPr>
          <w:sz w:val="22"/>
          <w:szCs w:val="22"/>
        </w:rPr>
        <w:t xml:space="preserve">                           </w:t>
      </w:r>
      <w:r w:rsidRPr="00C123F4">
        <w:rPr>
          <w:sz w:val="22"/>
          <w:szCs w:val="22"/>
        </w:rPr>
        <w:t xml:space="preserve">        ȘEF SERVICIU REABILITĂRI,</w:t>
      </w:r>
      <w:r w:rsidR="00D7157A" w:rsidRPr="00C123F4">
        <w:rPr>
          <w:sz w:val="22"/>
          <w:szCs w:val="22"/>
        </w:rPr>
        <w:tab/>
      </w:r>
      <w:r w:rsidRPr="00C123F4">
        <w:rPr>
          <w:sz w:val="22"/>
          <w:szCs w:val="22"/>
        </w:rPr>
        <w:t xml:space="preserve">           </w:t>
      </w:r>
    </w:p>
    <w:p w:rsidR="00D7157A" w:rsidRPr="00C123F4" w:rsidRDefault="00F14541" w:rsidP="00D7157A">
      <w:pPr>
        <w:jc w:val="right"/>
        <w:rPr>
          <w:sz w:val="22"/>
          <w:szCs w:val="22"/>
        </w:rPr>
      </w:pPr>
      <w:r w:rsidRPr="00C123F4">
        <w:rPr>
          <w:sz w:val="22"/>
          <w:szCs w:val="22"/>
        </w:rPr>
        <w:t xml:space="preserve">                                                 </w:t>
      </w:r>
      <w:r w:rsidR="006449B7" w:rsidRPr="00C123F4">
        <w:rPr>
          <w:sz w:val="22"/>
          <w:szCs w:val="22"/>
        </w:rPr>
        <w:t xml:space="preserve">                                  </w:t>
      </w:r>
      <w:r w:rsidRPr="00C123F4">
        <w:rPr>
          <w:sz w:val="22"/>
          <w:szCs w:val="22"/>
        </w:rPr>
        <w:t xml:space="preserve">  GABRIELA BICA</w:t>
      </w:r>
      <w:r w:rsidR="00D7157A" w:rsidRPr="00C123F4">
        <w:rPr>
          <w:sz w:val="22"/>
          <w:szCs w:val="22"/>
        </w:rPr>
        <w:tab/>
      </w:r>
      <w:r w:rsidR="00D7157A" w:rsidRPr="00C123F4">
        <w:rPr>
          <w:sz w:val="22"/>
          <w:szCs w:val="22"/>
        </w:rPr>
        <w:tab/>
      </w:r>
      <w:r w:rsidR="00D7157A" w:rsidRPr="00C123F4">
        <w:rPr>
          <w:sz w:val="22"/>
          <w:szCs w:val="22"/>
        </w:rPr>
        <w:tab/>
      </w:r>
    </w:p>
    <w:p w:rsidR="00F14541" w:rsidRPr="00C123F4" w:rsidRDefault="00F14541" w:rsidP="00D7157A">
      <w:pPr>
        <w:jc w:val="right"/>
        <w:rPr>
          <w:sz w:val="22"/>
          <w:szCs w:val="22"/>
        </w:rPr>
      </w:pPr>
    </w:p>
    <w:p w:rsidR="00F14541" w:rsidRPr="00C123F4" w:rsidRDefault="00F14541" w:rsidP="00D7157A">
      <w:pPr>
        <w:jc w:val="right"/>
        <w:rPr>
          <w:sz w:val="22"/>
          <w:szCs w:val="22"/>
        </w:rPr>
      </w:pPr>
    </w:p>
    <w:p w:rsidR="00E54DBF" w:rsidRPr="00C123F4" w:rsidRDefault="00E54DBF" w:rsidP="00D7157A">
      <w:pPr>
        <w:jc w:val="right"/>
        <w:rPr>
          <w:sz w:val="22"/>
          <w:szCs w:val="22"/>
        </w:rPr>
      </w:pPr>
    </w:p>
    <w:p w:rsidR="00E54DBF" w:rsidRPr="00C123F4" w:rsidRDefault="00E54DBF" w:rsidP="00D7157A">
      <w:pPr>
        <w:jc w:val="right"/>
        <w:rPr>
          <w:sz w:val="22"/>
          <w:szCs w:val="22"/>
        </w:rPr>
      </w:pPr>
    </w:p>
    <w:p w:rsidR="00D7157A" w:rsidRPr="00C123F4" w:rsidRDefault="00D7157A" w:rsidP="00D7157A">
      <w:pPr>
        <w:jc w:val="right"/>
        <w:rPr>
          <w:sz w:val="22"/>
          <w:szCs w:val="22"/>
        </w:rPr>
      </w:pPr>
      <w:r w:rsidRPr="00C123F4">
        <w:rPr>
          <w:sz w:val="22"/>
          <w:szCs w:val="22"/>
        </w:rPr>
        <w:tab/>
      </w:r>
      <w:r w:rsidRPr="00C123F4">
        <w:rPr>
          <w:sz w:val="22"/>
          <w:szCs w:val="22"/>
        </w:rPr>
        <w:tab/>
        <w:t xml:space="preserve">              </w:t>
      </w:r>
    </w:p>
    <w:p w:rsidR="00D7157A" w:rsidRPr="00C123F4" w:rsidRDefault="00D7157A" w:rsidP="00D7157A">
      <w:pPr>
        <w:jc w:val="center"/>
        <w:rPr>
          <w:sz w:val="22"/>
          <w:szCs w:val="22"/>
        </w:rPr>
      </w:pPr>
      <w:r w:rsidRPr="00C123F4">
        <w:rPr>
          <w:sz w:val="22"/>
          <w:szCs w:val="22"/>
        </w:rPr>
        <w:t xml:space="preserve">                                           </w:t>
      </w:r>
      <w:r w:rsidR="00F14541" w:rsidRPr="00C123F4">
        <w:rPr>
          <w:sz w:val="22"/>
          <w:szCs w:val="22"/>
        </w:rPr>
        <w:t xml:space="preserve">                   </w:t>
      </w:r>
      <w:r w:rsidRPr="00C123F4">
        <w:rPr>
          <w:sz w:val="22"/>
          <w:szCs w:val="22"/>
        </w:rPr>
        <w:t xml:space="preserve">ȘEF BIROU </w:t>
      </w:r>
      <w:r w:rsidR="00F14541" w:rsidRPr="00C123F4">
        <w:rPr>
          <w:sz w:val="22"/>
          <w:szCs w:val="22"/>
        </w:rPr>
        <w:t>REABILITĂRI CLĂDIRI PUBLICE,</w:t>
      </w:r>
    </w:p>
    <w:p w:rsidR="00D7157A" w:rsidRPr="00C123F4" w:rsidRDefault="00F14541" w:rsidP="00D7157A">
      <w:pPr>
        <w:tabs>
          <w:tab w:val="left" w:pos="5085"/>
        </w:tabs>
        <w:rPr>
          <w:sz w:val="22"/>
          <w:szCs w:val="22"/>
        </w:rPr>
      </w:pPr>
      <w:r w:rsidRPr="00C123F4">
        <w:rPr>
          <w:sz w:val="22"/>
          <w:szCs w:val="22"/>
        </w:rPr>
        <w:tab/>
        <w:t xml:space="preserve">    OCTAVIAN MUNTEANU</w:t>
      </w:r>
    </w:p>
    <w:p w:rsidR="00D7157A" w:rsidRPr="00C123F4" w:rsidRDefault="00D7157A" w:rsidP="00D7157A">
      <w:pPr>
        <w:tabs>
          <w:tab w:val="left" w:pos="5085"/>
        </w:tabs>
        <w:rPr>
          <w:sz w:val="22"/>
          <w:szCs w:val="22"/>
        </w:rPr>
      </w:pPr>
    </w:p>
    <w:p w:rsidR="00D7157A" w:rsidRPr="00C123F4" w:rsidRDefault="00D7157A" w:rsidP="00D7157A">
      <w:pPr>
        <w:tabs>
          <w:tab w:val="left" w:pos="5085"/>
        </w:tabs>
        <w:rPr>
          <w:sz w:val="22"/>
          <w:szCs w:val="22"/>
        </w:rPr>
      </w:pPr>
    </w:p>
    <w:p w:rsidR="00D7157A" w:rsidRPr="00C123F4" w:rsidRDefault="00D7157A" w:rsidP="00D7157A">
      <w:pPr>
        <w:tabs>
          <w:tab w:val="left" w:pos="5085"/>
        </w:tabs>
        <w:rPr>
          <w:sz w:val="22"/>
          <w:szCs w:val="22"/>
        </w:rPr>
      </w:pPr>
    </w:p>
    <w:p w:rsidR="006449B7" w:rsidRPr="00C123F4" w:rsidRDefault="00D7157A" w:rsidP="00E54DBF">
      <w:pPr>
        <w:pStyle w:val="NormalWeb"/>
        <w:tabs>
          <w:tab w:val="left" w:pos="6975"/>
        </w:tabs>
        <w:spacing w:before="0" w:beforeAutospacing="0" w:after="0" w:afterAutospacing="0"/>
        <w:rPr>
          <w:color w:val="000000"/>
          <w:sz w:val="22"/>
          <w:szCs w:val="22"/>
          <w:lang w:val="ro-RO"/>
        </w:rPr>
      </w:pPr>
      <w:r w:rsidRPr="00C123F4">
        <w:rPr>
          <w:color w:val="000000"/>
          <w:sz w:val="22"/>
          <w:szCs w:val="22"/>
          <w:lang w:val="ro-RO"/>
        </w:rPr>
        <w:t xml:space="preserve">              </w:t>
      </w:r>
    </w:p>
    <w:p w:rsidR="006449B7" w:rsidRPr="00C123F4" w:rsidRDefault="006449B7" w:rsidP="00E54DBF">
      <w:pPr>
        <w:pStyle w:val="NormalWeb"/>
        <w:tabs>
          <w:tab w:val="left" w:pos="6975"/>
        </w:tabs>
        <w:spacing w:before="0" w:beforeAutospacing="0" w:after="0" w:afterAutospacing="0"/>
        <w:rPr>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6449B7" w:rsidRPr="006449B7" w:rsidRDefault="006449B7" w:rsidP="00E54DBF">
      <w:pPr>
        <w:pStyle w:val="NormalWeb"/>
        <w:tabs>
          <w:tab w:val="left" w:pos="6975"/>
        </w:tabs>
        <w:spacing w:before="0" w:beforeAutospacing="0" w:after="0" w:afterAutospacing="0"/>
        <w:rPr>
          <w:b/>
          <w:color w:val="000000"/>
          <w:sz w:val="22"/>
          <w:szCs w:val="22"/>
          <w:lang w:val="ro-RO"/>
        </w:rPr>
      </w:pPr>
    </w:p>
    <w:p w:rsidR="00D7157A" w:rsidRPr="006449B7" w:rsidRDefault="00D7157A" w:rsidP="00E54DBF">
      <w:pPr>
        <w:pStyle w:val="NormalWeb"/>
        <w:tabs>
          <w:tab w:val="left" w:pos="6975"/>
        </w:tabs>
        <w:spacing w:before="0" w:beforeAutospacing="0" w:after="0" w:afterAutospacing="0"/>
        <w:rPr>
          <w:b/>
          <w:color w:val="000000"/>
          <w:sz w:val="22"/>
          <w:szCs w:val="22"/>
          <w:lang w:val="ro-RO"/>
        </w:rPr>
      </w:pPr>
      <w:r w:rsidRPr="006449B7">
        <w:rPr>
          <w:b/>
          <w:color w:val="000000"/>
          <w:sz w:val="22"/>
          <w:szCs w:val="22"/>
          <w:lang w:val="ro-RO"/>
        </w:rPr>
        <w:t xml:space="preserve">                                                          </w:t>
      </w:r>
      <w:r w:rsidR="00F14541" w:rsidRPr="006449B7">
        <w:rPr>
          <w:b/>
          <w:color w:val="000000"/>
          <w:sz w:val="22"/>
          <w:szCs w:val="22"/>
          <w:lang w:val="ro-RO"/>
        </w:rPr>
        <w:t xml:space="preserve">                             </w:t>
      </w:r>
    </w:p>
    <w:p w:rsidR="00C0649C" w:rsidRPr="006449B7" w:rsidRDefault="00C0649C" w:rsidP="00E5135A">
      <w:pPr>
        <w:rPr>
          <w:sz w:val="22"/>
          <w:szCs w:val="22"/>
        </w:rPr>
      </w:pPr>
    </w:p>
    <w:p w:rsidR="008E1AF2" w:rsidRPr="006449B7" w:rsidRDefault="002C612D" w:rsidP="00773ACE">
      <w:pPr>
        <w:rPr>
          <w:sz w:val="22"/>
          <w:szCs w:val="22"/>
        </w:rPr>
      </w:pPr>
      <w:r w:rsidRPr="006449B7">
        <w:rPr>
          <w:sz w:val="22"/>
          <w:szCs w:val="22"/>
        </w:rPr>
        <w:t>Cod FO53-03,Ver.1</w:t>
      </w:r>
      <w:r w:rsidR="008E1AF2" w:rsidRPr="006449B7">
        <w:rPr>
          <w:sz w:val="22"/>
          <w:szCs w:val="22"/>
        </w:rPr>
        <w:t xml:space="preserve">                                                                               </w:t>
      </w:r>
      <w:r w:rsidRPr="006449B7">
        <w:rPr>
          <w:sz w:val="22"/>
          <w:szCs w:val="22"/>
        </w:rPr>
        <w:t xml:space="preserve">                              </w:t>
      </w:r>
    </w:p>
    <w:sectPr w:rsidR="008E1AF2" w:rsidRPr="006449B7" w:rsidSect="00A445BA">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5CF" w:rsidRDefault="006535CF" w:rsidP="00D23031">
      <w:r>
        <w:separator/>
      </w:r>
    </w:p>
  </w:endnote>
  <w:endnote w:type="continuationSeparator" w:id="1">
    <w:p w:rsidR="006535CF" w:rsidRDefault="006535CF"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5CF" w:rsidRDefault="006535CF" w:rsidP="00D23031">
      <w:r>
        <w:separator/>
      </w:r>
    </w:p>
  </w:footnote>
  <w:footnote w:type="continuationSeparator" w:id="1">
    <w:p w:rsidR="006535CF" w:rsidRDefault="006535CF"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48DED07E"/>
    <w:lvl w:ilvl="0" w:tplc="071AD7E0">
      <w:start w:val="1"/>
      <w:numFmt w:val="decimal"/>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133122"/>
  </w:hdrShapeDefaults>
  <w:footnotePr>
    <w:footnote w:id="0"/>
    <w:footnote w:id="1"/>
  </w:footnotePr>
  <w:endnotePr>
    <w:endnote w:id="0"/>
    <w:endnote w:id="1"/>
  </w:endnotePr>
  <w:compat/>
  <w:rsids>
    <w:rsidRoot w:val="00FC5456"/>
    <w:rsid w:val="000021BB"/>
    <w:rsid w:val="000028CE"/>
    <w:rsid w:val="00004DE9"/>
    <w:rsid w:val="000063AC"/>
    <w:rsid w:val="00011729"/>
    <w:rsid w:val="00013764"/>
    <w:rsid w:val="00013F54"/>
    <w:rsid w:val="00015EFC"/>
    <w:rsid w:val="00024AE0"/>
    <w:rsid w:val="000266C2"/>
    <w:rsid w:val="00027879"/>
    <w:rsid w:val="00032AB7"/>
    <w:rsid w:val="00032D1C"/>
    <w:rsid w:val="000379D1"/>
    <w:rsid w:val="00047CD3"/>
    <w:rsid w:val="000514F2"/>
    <w:rsid w:val="00053480"/>
    <w:rsid w:val="000579D5"/>
    <w:rsid w:val="00064608"/>
    <w:rsid w:val="00067B64"/>
    <w:rsid w:val="000771D5"/>
    <w:rsid w:val="00085C74"/>
    <w:rsid w:val="000863E1"/>
    <w:rsid w:val="00090345"/>
    <w:rsid w:val="000A6080"/>
    <w:rsid w:val="000B32EA"/>
    <w:rsid w:val="000C181A"/>
    <w:rsid w:val="000C3C9E"/>
    <w:rsid w:val="000E1A9F"/>
    <w:rsid w:val="000F4EB7"/>
    <w:rsid w:val="0011138E"/>
    <w:rsid w:val="00112C29"/>
    <w:rsid w:val="00112D9F"/>
    <w:rsid w:val="00114025"/>
    <w:rsid w:val="00115DDA"/>
    <w:rsid w:val="00116108"/>
    <w:rsid w:val="001161DD"/>
    <w:rsid w:val="001170FE"/>
    <w:rsid w:val="00131D0B"/>
    <w:rsid w:val="0014160C"/>
    <w:rsid w:val="00145A27"/>
    <w:rsid w:val="00150DC8"/>
    <w:rsid w:val="00156870"/>
    <w:rsid w:val="001633F2"/>
    <w:rsid w:val="001678C8"/>
    <w:rsid w:val="00184020"/>
    <w:rsid w:val="0018426B"/>
    <w:rsid w:val="00184335"/>
    <w:rsid w:val="001B51EE"/>
    <w:rsid w:val="001B6248"/>
    <w:rsid w:val="001B694F"/>
    <w:rsid w:val="001C77B9"/>
    <w:rsid w:val="001D03C3"/>
    <w:rsid w:val="001D6047"/>
    <w:rsid w:val="001E1028"/>
    <w:rsid w:val="001E13D6"/>
    <w:rsid w:val="00203910"/>
    <w:rsid w:val="0020706B"/>
    <w:rsid w:val="00233F03"/>
    <w:rsid w:val="0023648F"/>
    <w:rsid w:val="00240016"/>
    <w:rsid w:val="002410C6"/>
    <w:rsid w:val="00253143"/>
    <w:rsid w:val="0025534B"/>
    <w:rsid w:val="00256376"/>
    <w:rsid w:val="00257D7F"/>
    <w:rsid w:val="0026583D"/>
    <w:rsid w:val="00280A72"/>
    <w:rsid w:val="00282651"/>
    <w:rsid w:val="002905A5"/>
    <w:rsid w:val="00293172"/>
    <w:rsid w:val="00296CCD"/>
    <w:rsid w:val="002A2242"/>
    <w:rsid w:val="002A7F6C"/>
    <w:rsid w:val="002C612D"/>
    <w:rsid w:val="002D0947"/>
    <w:rsid w:val="002D1F9F"/>
    <w:rsid w:val="002D795F"/>
    <w:rsid w:val="002E1DED"/>
    <w:rsid w:val="002E612A"/>
    <w:rsid w:val="002E69F5"/>
    <w:rsid w:val="002E752D"/>
    <w:rsid w:val="002F0597"/>
    <w:rsid w:val="002F0A37"/>
    <w:rsid w:val="002F3441"/>
    <w:rsid w:val="00303EA7"/>
    <w:rsid w:val="003047EF"/>
    <w:rsid w:val="003312C0"/>
    <w:rsid w:val="0033637D"/>
    <w:rsid w:val="0034167A"/>
    <w:rsid w:val="00343116"/>
    <w:rsid w:val="00350CF0"/>
    <w:rsid w:val="00351000"/>
    <w:rsid w:val="003516FB"/>
    <w:rsid w:val="00352AAB"/>
    <w:rsid w:val="00356956"/>
    <w:rsid w:val="003667E2"/>
    <w:rsid w:val="0036727A"/>
    <w:rsid w:val="0037280F"/>
    <w:rsid w:val="00372ECD"/>
    <w:rsid w:val="00373773"/>
    <w:rsid w:val="0038143B"/>
    <w:rsid w:val="003817A5"/>
    <w:rsid w:val="003867E7"/>
    <w:rsid w:val="0039248C"/>
    <w:rsid w:val="0039574A"/>
    <w:rsid w:val="003A0475"/>
    <w:rsid w:val="003A7504"/>
    <w:rsid w:val="003B2319"/>
    <w:rsid w:val="003B5C5B"/>
    <w:rsid w:val="003B5F8D"/>
    <w:rsid w:val="003B6474"/>
    <w:rsid w:val="003C4B74"/>
    <w:rsid w:val="003D6C87"/>
    <w:rsid w:val="003F19A1"/>
    <w:rsid w:val="00401585"/>
    <w:rsid w:val="00401D92"/>
    <w:rsid w:val="004063B5"/>
    <w:rsid w:val="00414DDE"/>
    <w:rsid w:val="00435B6E"/>
    <w:rsid w:val="004360D1"/>
    <w:rsid w:val="00441B98"/>
    <w:rsid w:val="00443F3D"/>
    <w:rsid w:val="00444A8F"/>
    <w:rsid w:val="00451343"/>
    <w:rsid w:val="0045261F"/>
    <w:rsid w:val="004538ED"/>
    <w:rsid w:val="00455DAC"/>
    <w:rsid w:val="00463927"/>
    <w:rsid w:val="00463CFE"/>
    <w:rsid w:val="00475063"/>
    <w:rsid w:val="00475B67"/>
    <w:rsid w:val="00483362"/>
    <w:rsid w:val="00494224"/>
    <w:rsid w:val="004A6086"/>
    <w:rsid w:val="004B4A3A"/>
    <w:rsid w:val="004B50AD"/>
    <w:rsid w:val="004C381A"/>
    <w:rsid w:val="004D6D38"/>
    <w:rsid w:val="004E16BB"/>
    <w:rsid w:val="004E3870"/>
    <w:rsid w:val="004E6619"/>
    <w:rsid w:val="004F06BC"/>
    <w:rsid w:val="0050233D"/>
    <w:rsid w:val="00514CE2"/>
    <w:rsid w:val="00514F32"/>
    <w:rsid w:val="00517A39"/>
    <w:rsid w:val="00521C1A"/>
    <w:rsid w:val="005303A1"/>
    <w:rsid w:val="00533EDB"/>
    <w:rsid w:val="005551AC"/>
    <w:rsid w:val="00555CD3"/>
    <w:rsid w:val="00556AF1"/>
    <w:rsid w:val="0056329D"/>
    <w:rsid w:val="005643E9"/>
    <w:rsid w:val="00571DAC"/>
    <w:rsid w:val="005A6263"/>
    <w:rsid w:val="005B3EE2"/>
    <w:rsid w:val="005B476A"/>
    <w:rsid w:val="005C401F"/>
    <w:rsid w:val="005C64C1"/>
    <w:rsid w:val="005C796F"/>
    <w:rsid w:val="005D53EF"/>
    <w:rsid w:val="005D5EEF"/>
    <w:rsid w:val="005E00A3"/>
    <w:rsid w:val="005F07DB"/>
    <w:rsid w:val="005F084A"/>
    <w:rsid w:val="005F73EA"/>
    <w:rsid w:val="005F7464"/>
    <w:rsid w:val="00607D5F"/>
    <w:rsid w:val="0061256C"/>
    <w:rsid w:val="00635555"/>
    <w:rsid w:val="00635DD4"/>
    <w:rsid w:val="006449B7"/>
    <w:rsid w:val="006535CF"/>
    <w:rsid w:val="00655E09"/>
    <w:rsid w:val="0066029A"/>
    <w:rsid w:val="00660E87"/>
    <w:rsid w:val="00664FE8"/>
    <w:rsid w:val="0067068D"/>
    <w:rsid w:val="00673CEF"/>
    <w:rsid w:val="0068244A"/>
    <w:rsid w:val="00686309"/>
    <w:rsid w:val="00687DC9"/>
    <w:rsid w:val="006973C3"/>
    <w:rsid w:val="006A42B0"/>
    <w:rsid w:val="006B0E91"/>
    <w:rsid w:val="006B6F37"/>
    <w:rsid w:val="006C205F"/>
    <w:rsid w:val="006C5C5A"/>
    <w:rsid w:val="006D0180"/>
    <w:rsid w:val="00702175"/>
    <w:rsid w:val="007036FA"/>
    <w:rsid w:val="00714DE8"/>
    <w:rsid w:val="007150E5"/>
    <w:rsid w:val="00723346"/>
    <w:rsid w:val="00726798"/>
    <w:rsid w:val="00731F9B"/>
    <w:rsid w:val="00732BEA"/>
    <w:rsid w:val="0073551E"/>
    <w:rsid w:val="007429E7"/>
    <w:rsid w:val="0074312D"/>
    <w:rsid w:val="00745DA7"/>
    <w:rsid w:val="0075502E"/>
    <w:rsid w:val="007618B5"/>
    <w:rsid w:val="00767076"/>
    <w:rsid w:val="007703E8"/>
    <w:rsid w:val="007705DC"/>
    <w:rsid w:val="007720E8"/>
    <w:rsid w:val="00773ACE"/>
    <w:rsid w:val="0078479F"/>
    <w:rsid w:val="00792126"/>
    <w:rsid w:val="0079407F"/>
    <w:rsid w:val="007A75E3"/>
    <w:rsid w:val="007B49BD"/>
    <w:rsid w:val="007C29D0"/>
    <w:rsid w:val="007C29FB"/>
    <w:rsid w:val="007D790E"/>
    <w:rsid w:val="008055DD"/>
    <w:rsid w:val="008152F7"/>
    <w:rsid w:val="008226AF"/>
    <w:rsid w:val="00823FCC"/>
    <w:rsid w:val="00824D97"/>
    <w:rsid w:val="00827F3C"/>
    <w:rsid w:val="008302CB"/>
    <w:rsid w:val="00832695"/>
    <w:rsid w:val="00851DBA"/>
    <w:rsid w:val="00860C98"/>
    <w:rsid w:val="0086458F"/>
    <w:rsid w:val="00866967"/>
    <w:rsid w:val="0086779B"/>
    <w:rsid w:val="00880994"/>
    <w:rsid w:val="008932BD"/>
    <w:rsid w:val="008A0F2B"/>
    <w:rsid w:val="008A2E07"/>
    <w:rsid w:val="008A3A45"/>
    <w:rsid w:val="008B00D1"/>
    <w:rsid w:val="008B02A7"/>
    <w:rsid w:val="008B22E8"/>
    <w:rsid w:val="008B398B"/>
    <w:rsid w:val="008B65F4"/>
    <w:rsid w:val="008B6879"/>
    <w:rsid w:val="008C339D"/>
    <w:rsid w:val="008E1AF2"/>
    <w:rsid w:val="008F1B16"/>
    <w:rsid w:val="008F4128"/>
    <w:rsid w:val="008F6E58"/>
    <w:rsid w:val="009023D6"/>
    <w:rsid w:val="0090415F"/>
    <w:rsid w:val="00905466"/>
    <w:rsid w:val="009112B2"/>
    <w:rsid w:val="00911FAC"/>
    <w:rsid w:val="00916933"/>
    <w:rsid w:val="00917484"/>
    <w:rsid w:val="00930712"/>
    <w:rsid w:val="00942F1E"/>
    <w:rsid w:val="00954D98"/>
    <w:rsid w:val="00954E35"/>
    <w:rsid w:val="00957D45"/>
    <w:rsid w:val="00964DD3"/>
    <w:rsid w:val="00967A25"/>
    <w:rsid w:val="00970E01"/>
    <w:rsid w:val="00971ACF"/>
    <w:rsid w:val="0097694A"/>
    <w:rsid w:val="00980CE5"/>
    <w:rsid w:val="00986934"/>
    <w:rsid w:val="009945DE"/>
    <w:rsid w:val="009A58B2"/>
    <w:rsid w:val="009C0DB7"/>
    <w:rsid w:val="009C44FA"/>
    <w:rsid w:val="009C7F92"/>
    <w:rsid w:val="009D542A"/>
    <w:rsid w:val="009E0572"/>
    <w:rsid w:val="009F4B90"/>
    <w:rsid w:val="00A159E0"/>
    <w:rsid w:val="00A176C2"/>
    <w:rsid w:val="00A25FB1"/>
    <w:rsid w:val="00A3232F"/>
    <w:rsid w:val="00A35DCE"/>
    <w:rsid w:val="00A41925"/>
    <w:rsid w:val="00A427C2"/>
    <w:rsid w:val="00A43339"/>
    <w:rsid w:val="00A445BA"/>
    <w:rsid w:val="00A46488"/>
    <w:rsid w:val="00A6601C"/>
    <w:rsid w:val="00A66A3B"/>
    <w:rsid w:val="00A717DC"/>
    <w:rsid w:val="00A8210A"/>
    <w:rsid w:val="00A86579"/>
    <w:rsid w:val="00A8766C"/>
    <w:rsid w:val="00A94B9F"/>
    <w:rsid w:val="00A94C24"/>
    <w:rsid w:val="00A96753"/>
    <w:rsid w:val="00AA065A"/>
    <w:rsid w:val="00AA276E"/>
    <w:rsid w:val="00AA437E"/>
    <w:rsid w:val="00AB0F31"/>
    <w:rsid w:val="00AB3CD7"/>
    <w:rsid w:val="00AB49DC"/>
    <w:rsid w:val="00AB5C4D"/>
    <w:rsid w:val="00AC012E"/>
    <w:rsid w:val="00AC7803"/>
    <w:rsid w:val="00AD2D1E"/>
    <w:rsid w:val="00AD387C"/>
    <w:rsid w:val="00AE1A02"/>
    <w:rsid w:val="00AE7D8B"/>
    <w:rsid w:val="00B060C6"/>
    <w:rsid w:val="00B063DC"/>
    <w:rsid w:val="00B12C07"/>
    <w:rsid w:val="00B16B2D"/>
    <w:rsid w:val="00B22F00"/>
    <w:rsid w:val="00B307BD"/>
    <w:rsid w:val="00B334E9"/>
    <w:rsid w:val="00B335A3"/>
    <w:rsid w:val="00B35B1E"/>
    <w:rsid w:val="00B36146"/>
    <w:rsid w:val="00B45544"/>
    <w:rsid w:val="00B54BD5"/>
    <w:rsid w:val="00B55887"/>
    <w:rsid w:val="00B574E9"/>
    <w:rsid w:val="00B602F5"/>
    <w:rsid w:val="00B6220A"/>
    <w:rsid w:val="00B67008"/>
    <w:rsid w:val="00B70CA9"/>
    <w:rsid w:val="00B74DED"/>
    <w:rsid w:val="00B76C44"/>
    <w:rsid w:val="00B9398D"/>
    <w:rsid w:val="00B965E0"/>
    <w:rsid w:val="00B971FE"/>
    <w:rsid w:val="00BA737E"/>
    <w:rsid w:val="00BA74BB"/>
    <w:rsid w:val="00BB1C52"/>
    <w:rsid w:val="00BB3D2A"/>
    <w:rsid w:val="00BB494B"/>
    <w:rsid w:val="00BB5AC2"/>
    <w:rsid w:val="00BB6AF6"/>
    <w:rsid w:val="00BC642A"/>
    <w:rsid w:val="00BE260E"/>
    <w:rsid w:val="00BE459F"/>
    <w:rsid w:val="00BF5AE2"/>
    <w:rsid w:val="00BF628A"/>
    <w:rsid w:val="00C017C2"/>
    <w:rsid w:val="00C0313E"/>
    <w:rsid w:val="00C03C68"/>
    <w:rsid w:val="00C042DA"/>
    <w:rsid w:val="00C0649C"/>
    <w:rsid w:val="00C06D60"/>
    <w:rsid w:val="00C123F4"/>
    <w:rsid w:val="00C14A2B"/>
    <w:rsid w:val="00C14CD8"/>
    <w:rsid w:val="00C16970"/>
    <w:rsid w:val="00C25430"/>
    <w:rsid w:val="00C25634"/>
    <w:rsid w:val="00C2621A"/>
    <w:rsid w:val="00C34032"/>
    <w:rsid w:val="00C4013C"/>
    <w:rsid w:val="00C40239"/>
    <w:rsid w:val="00C425C7"/>
    <w:rsid w:val="00C44329"/>
    <w:rsid w:val="00C477EC"/>
    <w:rsid w:val="00C528A9"/>
    <w:rsid w:val="00C572A9"/>
    <w:rsid w:val="00C62016"/>
    <w:rsid w:val="00C63D57"/>
    <w:rsid w:val="00C76EEB"/>
    <w:rsid w:val="00C777FA"/>
    <w:rsid w:val="00C77E08"/>
    <w:rsid w:val="00C826B9"/>
    <w:rsid w:val="00C82707"/>
    <w:rsid w:val="00C84C28"/>
    <w:rsid w:val="00C91B59"/>
    <w:rsid w:val="00C96BA4"/>
    <w:rsid w:val="00CC0714"/>
    <w:rsid w:val="00CC39C6"/>
    <w:rsid w:val="00CC425F"/>
    <w:rsid w:val="00CC4D16"/>
    <w:rsid w:val="00CC68B3"/>
    <w:rsid w:val="00CE60EB"/>
    <w:rsid w:val="00CF329F"/>
    <w:rsid w:val="00CF3636"/>
    <w:rsid w:val="00CF5A99"/>
    <w:rsid w:val="00CF7CE7"/>
    <w:rsid w:val="00D06F92"/>
    <w:rsid w:val="00D07DFA"/>
    <w:rsid w:val="00D11B87"/>
    <w:rsid w:val="00D172BF"/>
    <w:rsid w:val="00D23031"/>
    <w:rsid w:val="00D2391A"/>
    <w:rsid w:val="00D25BF4"/>
    <w:rsid w:val="00D27956"/>
    <w:rsid w:val="00D31FB5"/>
    <w:rsid w:val="00D44165"/>
    <w:rsid w:val="00D46706"/>
    <w:rsid w:val="00D51684"/>
    <w:rsid w:val="00D67BDF"/>
    <w:rsid w:val="00D7157A"/>
    <w:rsid w:val="00D8034A"/>
    <w:rsid w:val="00D8116B"/>
    <w:rsid w:val="00D83482"/>
    <w:rsid w:val="00DA0C87"/>
    <w:rsid w:val="00DA27C1"/>
    <w:rsid w:val="00DB4CA1"/>
    <w:rsid w:val="00DC325E"/>
    <w:rsid w:val="00DC3A52"/>
    <w:rsid w:val="00DD4338"/>
    <w:rsid w:val="00DD720B"/>
    <w:rsid w:val="00DE5D85"/>
    <w:rsid w:val="00DF7CFD"/>
    <w:rsid w:val="00E02336"/>
    <w:rsid w:val="00E06292"/>
    <w:rsid w:val="00E07B99"/>
    <w:rsid w:val="00E07F18"/>
    <w:rsid w:val="00E20CA1"/>
    <w:rsid w:val="00E25152"/>
    <w:rsid w:val="00E3160F"/>
    <w:rsid w:val="00E31F6C"/>
    <w:rsid w:val="00E34A5E"/>
    <w:rsid w:val="00E5135A"/>
    <w:rsid w:val="00E54DBF"/>
    <w:rsid w:val="00E56A0D"/>
    <w:rsid w:val="00E579C7"/>
    <w:rsid w:val="00E64517"/>
    <w:rsid w:val="00E740C8"/>
    <w:rsid w:val="00E749C5"/>
    <w:rsid w:val="00E752D1"/>
    <w:rsid w:val="00E76B69"/>
    <w:rsid w:val="00E80B50"/>
    <w:rsid w:val="00E83FA9"/>
    <w:rsid w:val="00E85A3A"/>
    <w:rsid w:val="00E97B4E"/>
    <w:rsid w:val="00EB0F23"/>
    <w:rsid w:val="00EB561E"/>
    <w:rsid w:val="00EB6AD0"/>
    <w:rsid w:val="00EC4565"/>
    <w:rsid w:val="00EC735D"/>
    <w:rsid w:val="00ED1D6B"/>
    <w:rsid w:val="00EF47AF"/>
    <w:rsid w:val="00EF5F4B"/>
    <w:rsid w:val="00F01771"/>
    <w:rsid w:val="00F04B20"/>
    <w:rsid w:val="00F0614D"/>
    <w:rsid w:val="00F14541"/>
    <w:rsid w:val="00F20EBE"/>
    <w:rsid w:val="00F33A66"/>
    <w:rsid w:val="00F36F0E"/>
    <w:rsid w:val="00F444A2"/>
    <w:rsid w:val="00F44EA4"/>
    <w:rsid w:val="00F46F38"/>
    <w:rsid w:val="00F51506"/>
    <w:rsid w:val="00F64F9D"/>
    <w:rsid w:val="00F6524A"/>
    <w:rsid w:val="00F66EA8"/>
    <w:rsid w:val="00F9553F"/>
    <w:rsid w:val="00FA4E8C"/>
    <w:rsid w:val="00FB096C"/>
    <w:rsid w:val="00FB43A4"/>
    <w:rsid w:val="00FC03AC"/>
    <w:rsid w:val="00FC3F7A"/>
    <w:rsid w:val="00FC5456"/>
    <w:rsid w:val="00FC56A7"/>
    <w:rsid w:val="00FD66E7"/>
    <w:rsid w:val="00FD7CCC"/>
    <w:rsid w:val="00FE3245"/>
    <w:rsid w:val="00FE4502"/>
    <w:rsid w:val="00FE520B"/>
    <w:rsid w:val="00FE7642"/>
    <w:rsid w:val="00FE7E3F"/>
    <w:rsid w:val="00FF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Outlines a"/>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34"/>
    <w:qFormat/>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D7157A"/>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ADDD6-F05C-4E48-A22B-6D31EED5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OMunteanu</cp:lastModifiedBy>
  <cp:revision>57</cp:revision>
  <cp:lastPrinted>2022-03-23T11:31:00Z</cp:lastPrinted>
  <dcterms:created xsi:type="dcterms:W3CDTF">2019-10-28T13:13:00Z</dcterms:created>
  <dcterms:modified xsi:type="dcterms:W3CDTF">2022-03-29T07:15:00Z</dcterms:modified>
</cp:coreProperties>
</file>