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284F" w14:textId="77777777" w:rsidR="007D1483" w:rsidRPr="00B21C84" w:rsidRDefault="007D1483" w:rsidP="007D1483">
      <w:pPr>
        <w:rPr>
          <w:b/>
          <w:sz w:val="22"/>
          <w:szCs w:val="22"/>
        </w:rPr>
      </w:pPr>
      <w:r w:rsidRPr="00B21C84">
        <w:rPr>
          <w:b/>
          <w:sz w:val="22"/>
          <w:szCs w:val="22"/>
        </w:rPr>
        <w:t>ROMÂNIA</w:t>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p>
    <w:p w14:paraId="3E2D38EA" w14:textId="77777777" w:rsidR="007D1483" w:rsidRPr="00B21C84" w:rsidRDefault="007D1483" w:rsidP="007D1483">
      <w:pPr>
        <w:rPr>
          <w:b/>
          <w:sz w:val="22"/>
          <w:szCs w:val="22"/>
        </w:rPr>
      </w:pPr>
      <w:r w:rsidRPr="00B21C84">
        <w:rPr>
          <w:b/>
          <w:sz w:val="22"/>
          <w:szCs w:val="22"/>
        </w:rPr>
        <w:t>JUDEȚUL TIMIŞ</w:t>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r>
      <w:r w:rsidRPr="00B21C84">
        <w:rPr>
          <w:b/>
          <w:sz w:val="22"/>
          <w:szCs w:val="22"/>
        </w:rPr>
        <w:tab/>
        <w:t xml:space="preserve">  </w:t>
      </w:r>
    </w:p>
    <w:p w14:paraId="67ED3728" w14:textId="77777777" w:rsidR="007D1483" w:rsidRPr="00B21C84" w:rsidRDefault="007D1483" w:rsidP="007D1483">
      <w:pPr>
        <w:rPr>
          <w:b/>
          <w:sz w:val="22"/>
          <w:szCs w:val="22"/>
        </w:rPr>
      </w:pPr>
      <w:r w:rsidRPr="00B21C84">
        <w:rPr>
          <w:b/>
          <w:sz w:val="22"/>
          <w:szCs w:val="22"/>
        </w:rPr>
        <w:t>MUNICIPIUL TIMIȘOARA</w:t>
      </w:r>
    </w:p>
    <w:p w14:paraId="1269E4AF" w14:textId="77777777" w:rsidR="007D1483" w:rsidRPr="00B21C84" w:rsidRDefault="007D1483" w:rsidP="007D1483">
      <w:pPr>
        <w:rPr>
          <w:b/>
          <w:sz w:val="22"/>
          <w:szCs w:val="22"/>
        </w:rPr>
      </w:pPr>
      <w:r w:rsidRPr="00B21C84">
        <w:rPr>
          <w:b/>
          <w:sz w:val="22"/>
          <w:szCs w:val="22"/>
        </w:rPr>
        <w:t>PRIMAR</w:t>
      </w:r>
    </w:p>
    <w:p w14:paraId="0376B750" w14:textId="1BC7997C" w:rsidR="007D1483" w:rsidRPr="00B21C84" w:rsidRDefault="003C3415" w:rsidP="007D1483">
      <w:pPr>
        <w:pStyle w:val="Header"/>
        <w:rPr>
          <w:b/>
          <w:sz w:val="22"/>
          <w:szCs w:val="22"/>
        </w:rPr>
      </w:pPr>
      <w:r w:rsidRPr="00B21C84">
        <w:rPr>
          <w:b/>
          <w:sz w:val="22"/>
          <w:szCs w:val="22"/>
        </w:rPr>
        <w:t>NR. SC2022</w:t>
      </w:r>
      <w:r w:rsidR="007D1483" w:rsidRPr="00B21C84">
        <w:rPr>
          <w:b/>
          <w:sz w:val="22"/>
          <w:szCs w:val="22"/>
        </w:rPr>
        <w:t xml:space="preserve"> –</w:t>
      </w:r>
      <w:r w:rsidR="006E150E" w:rsidRPr="00B21C84">
        <w:rPr>
          <w:b/>
          <w:sz w:val="22"/>
          <w:szCs w:val="22"/>
        </w:rPr>
        <w:t xml:space="preserve"> </w:t>
      </w:r>
      <w:r w:rsidR="00AC73EF" w:rsidRPr="00B21C84">
        <w:rPr>
          <w:b/>
          <w:sz w:val="22"/>
          <w:szCs w:val="22"/>
        </w:rPr>
        <w:t>30618/</w:t>
      </w:r>
      <w:r w:rsidR="00C92698">
        <w:rPr>
          <w:b/>
          <w:sz w:val="22"/>
          <w:szCs w:val="22"/>
        </w:rPr>
        <w:t>13</w:t>
      </w:r>
      <w:r w:rsidR="00AC73EF" w:rsidRPr="00B21C84">
        <w:rPr>
          <w:b/>
          <w:sz w:val="22"/>
          <w:szCs w:val="22"/>
        </w:rPr>
        <w:t>.12.2022</w:t>
      </w:r>
    </w:p>
    <w:p w14:paraId="7C633234" w14:textId="77777777" w:rsidR="0034492C" w:rsidRPr="00B21C84" w:rsidRDefault="0034492C" w:rsidP="0034492C">
      <w:pPr>
        <w:jc w:val="both"/>
        <w:rPr>
          <w:b/>
          <w:sz w:val="22"/>
          <w:szCs w:val="22"/>
        </w:rPr>
      </w:pPr>
    </w:p>
    <w:p w14:paraId="0489F34C" w14:textId="77777777" w:rsidR="009707FA" w:rsidRPr="00B21C84" w:rsidRDefault="009707FA" w:rsidP="0034492C">
      <w:pPr>
        <w:jc w:val="both"/>
        <w:rPr>
          <w:b/>
          <w:sz w:val="22"/>
          <w:szCs w:val="22"/>
        </w:rPr>
      </w:pPr>
    </w:p>
    <w:p w14:paraId="3B476E92" w14:textId="77777777" w:rsidR="00A47B5D" w:rsidRPr="00B21C84" w:rsidRDefault="00A47B5D" w:rsidP="00A47B5D">
      <w:pPr>
        <w:autoSpaceDE w:val="0"/>
        <w:autoSpaceDN w:val="0"/>
        <w:adjustRightInd w:val="0"/>
        <w:jc w:val="center"/>
        <w:rPr>
          <w:b/>
          <w:sz w:val="22"/>
          <w:szCs w:val="22"/>
          <w:u w:val="single"/>
        </w:rPr>
      </w:pPr>
      <w:r w:rsidRPr="00B21C84">
        <w:rPr>
          <w:b/>
          <w:sz w:val="22"/>
          <w:szCs w:val="22"/>
          <w:u w:val="single"/>
        </w:rPr>
        <w:t>REFERATUL DE APROBARE A PROIECTULUI DE HOTĂRÂRE</w:t>
      </w:r>
    </w:p>
    <w:p w14:paraId="3E69A736" w14:textId="64A7B9B9" w:rsidR="001C59EF" w:rsidRPr="00B21C84" w:rsidRDefault="001C59EF" w:rsidP="001425B6">
      <w:pPr>
        <w:autoSpaceDE w:val="0"/>
        <w:autoSpaceDN w:val="0"/>
        <w:adjustRightInd w:val="0"/>
        <w:rPr>
          <w:b/>
          <w:bCs/>
          <w:color w:val="000000"/>
          <w:sz w:val="22"/>
          <w:szCs w:val="22"/>
        </w:rPr>
      </w:pPr>
    </w:p>
    <w:p w14:paraId="46625641" w14:textId="77777777" w:rsidR="00B21C84" w:rsidRPr="00B21C84" w:rsidRDefault="00B21C84" w:rsidP="00B21C84">
      <w:pPr>
        <w:spacing w:after="120" w:line="360" w:lineRule="auto"/>
        <w:ind w:firstLine="567"/>
        <w:jc w:val="center"/>
        <w:rPr>
          <w:b/>
          <w:color w:val="000000"/>
          <w:sz w:val="22"/>
          <w:szCs w:val="22"/>
        </w:rPr>
      </w:pPr>
      <w:r w:rsidRPr="00B21C84">
        <w:rPr>
          <w:b/>
          <w:bCs/>
          <w:color w:val="000000"/>
          <w:sz w:val="22"/>
          <w:szCs w:val="22"/>
        </w:rPr>
        <w:t xml:space="preserve">privind </w:t>
      </w:r>
      <w:r w:rsidRPr="00B21C84">
        <w:rPr>
          <w:rStyle w:val="tpa"/>
          <w:b/>
          <w:color w:val="000000"/>
          <w:sz w:val="22"/>
          <w:szCs w:val="22"/>
        </w:rPr>
        <w:t>aprobarea depunerii proiectului</w:t>
      </w:r>
      <w:r w:rsidRPr="00B21C84">
        <w:rPr>
          <w:b/>
          <w:color w:val="000000"/>
          <w:sz w:val="22"/>
          <w:szCs w:val="22"/>
        </w:rPr>
        <w:t xml:space="preserve"> și a cheltuielilor legate de proiectul 12.„</w:t>
      </w:r>
      <w:r w:rsidRPr="00B21C84">
        <w:rPr>
          <w:b/>
          <w:i/>
          <w:iCs/>
          <w:color w:val="000000"/>
          <w:sz w:val="22"/>
          <w:szCs w:val="22"/>
        </w:rPr>
        <w:t>Servicii medicale de calitate prin construcția și dotarea unei noi maternități în cadrul Spitalului Clinic Municipal de Urgență din Timișoara</w:t>
      </w:r>
      <w:r w:rsidRPr="00B21C84">
        <w:rPr>
          <w:b/>
          <w:color w:val="000000"/>
          <w:sz w:val="22"/>
          <w:szCs w:val="22"/>
        </w:rPr>
        <w:t>” în vederea atingerii țintei 377 din PNRR  2020-2026, Componenta 12: Sănătate, Investiția: I2. Dezvoltarea infrastructurii spitalicești publice, Investiția specifică: I2.1 - Infrastructură spitalicească publică nouă și I2.2 – Echipamente și aparatură medicală, apelul de proiecte competitiv cu beneficiari preselectați – COD APEL: MS-0212</w:t>
      </w:r>
    </w:p>
    <w:p w14:paraId="118CECEA" w14:textId="77777777" w:rsidR="00033722" w:rsidRPr="00B21C84" w:rsidRDefault="00033722" w:rsidP="001425B6">
      <w:pPr>
        <w:autoSpaceDE w:val="0"/>
        <w:autoSpaceDN w:val="0"/>
        <w:adjustRightInd w:val="0"/>
        <w:rPr>
          <w:b/>
          <w:bCs/>
          <w:color w:val="FF0000"/>
          <w:sz w:val="22"/>
          <w:szCs w:val="22"/>
        </w:rPr>
      </w:pPr>
    </w:p>
    <w:p w14:paraId="29CA2EA4" w14:textId="77777777" w:rsidR="0034492C" w:rsidRPr="00B21C84" w:rsidRDefault="00064271" w:rsidP="003C3415">
      <w:pPr>
        <w:pStyle w:val="ListParagraph"/>
        <w:numPr>
          <w:ilvl w:val="0"/>
          <w:numId w:val="1"/>
        </w:numPr>
        <w:tabs>
          <w:tab w:val="decimal" w:pos="360"/>
          <w:tab w:val="decimal" w:pos="432"/>
        </w:tabs>
        <w:ind w:left="0" w:firstLine="0"/>
        <w:jc w:val="both"/>
        <w:rPr>
          <w:rFonts w:ascii="Times New Roman" w:hAnsi="Times New Roman"/>
          <w:b/>
          <w:color w:val="000000"/>
          <w:spacing w:val="-5"/>
          <w:lang w:val="ro-RO"/>
        </w:rPr>
      </w:pPr>
      <w:r w:rsidRPr="00B21C84">
        <w:rPr>
          <w:rFonts w:ascii="Times New Roman" w:hAnsi="Times New Roman"/>
          <w:b/>
          <w:color w:val="000000"/>
          <w:spacing w:val="-5"/>
          <w:lang w:val="ro-RO"/>
        </w:rPr>
        <w:t>Descrierea situaț</w:t>
      </w:r>
      <w:r w:rsidR="0034492C" w:rsidRPr="00B21C84">
        <w:rPr>
          <w:rFonts w:ascii="Times New Roman" w:hAnsi="Times New Roman"/>
          <w:b/>
          <w:color w:val="000000"/>
          <w:spacing w:val="-5"/>
          <w:lang w:val="ro-RO"/>
        </w:rPr>
        <w:t>iei actuale</w:t>
      </w:r>
    </w:p>
    <w:p w14:paraId="4C6C0DD6" w14:textId="77777777" w:rsidR="007D2462" w:rsidRPr="00B21C84" w:rsidRDefault="009D1CAE" w:rsidP="007D2462">
      <w:pPr>
        <w:jc w:val="both"/>
        <w:rPr>
          <w:sz w:val="22"/>
          <w:szCs w:val="22"/>
        </w:rPr>
      </w:pPr>
      <w:r w:rsidRPr="00B21C84">
        <w:rPr>
          <w:bCs/>
          <w:sz w:val="22"/>
          <w:szCs w:val="22"/>
        </w:rPr>
        <w:tab/>
      </w:r>
      <w:r w:rsidR="007D2462" w:rsidRPr="00B21C84">
        <w:rPr>
          <w:sz w:val="22"/>
          <w:szCs w:val="22"/>
        </w:rPr>
        <w:t xml:space="preserve">Calitatea serviciilor este suboptimală, impunându-se îmbunătăţirea cadrului tehnic şi metodologic, îmbunătăţirea calităţii şi/ sau a accesului la serviciile de sănătate. </w:t>
      </w:r>
    </w:p>
    <w:p w14:paraId="685BB6C9" w14:textId="77777777" w:rsidR="007D2462" w:rsidRPr="00B21C84" w:rsidRDefault="007D2462" w:rsidP="007D2462">
      <w:pPr>
        <w:jc w:val="both"/>
        <w:rPr>
          <w:sz w:val="22"/>
          <w:szCs w:val="22"/>
        </w:rPr>
      </w:pPr>
      <w:r w:rsidRPr="00B21C84">
        <w:rPr>
          <w:sz w:val="22"/>
          <w:szCs w:val="22"/>
        </w:rPr>
        <w:t xml:space="preserve">Secţiile clinice de obstetrică–ginecologie şi neonatologie ale Spitalului Clinic Municipal de Urgenţă Timişoara sunt ierarhizate la nivelul 3 conform prevederilor Ordinului ministrului sănătăţii nr. 1881/2006 şi asigură îngrijirea mamelor şi a nou născuţilor cu prematuritate extremă, preluând gravide şi nou născuţi de la unităţile medicale din Regiunea Vest (judetele TM, AR, CS, HD). </w:t>
      </w:r>
    </w:p>
    <w:p w14:paraId="21803A60" w14:textId="77777777" w:rsidR="007D2462" w:rsidRPr="00B21C84" w:rsidRDefault="007D2462" w:rsidP="007D2462">
      <w:pPr>
        <w:ind w:firstLine="720"/>
        <w:jc w:val="both"/>
        <w:rPr>
          <w:sz w:val="22"/>
          <w:szCs w:val="22"/>
        </w:rPr>
      </w:pPr>
      <w:r w:rsidRPr="00B21C84">
        <w:rPr>
          <w:sz w:val="22"/>
          <w:szCs w:val="22"/>
        </w:rPr>
        <w:t xml:space="preserve">Structura maternităţii este fragmentată în sistem pavilionar în două imobile situate la distanță, despărţite de un drum european, personalul medical şi pacienţii fiind nevoiţi să-l traverseze. Sunt clădiri vechi care datează din anii 1895 si 1897, însumând împreună o suprafaţă desfăşurată de 6.620 mp, ce nu permite integrarea optimă a circuitelor intraspitalicești, generează costuri crescute de întreținere, control deficitar al infecțiilor nosocomiale şi dificultăți în adoptarea de noi tehnologii. </w:t>
      </w:r>
    </w:p>
    <w:p w14:paraId="4F4C4A4B" w14:textId="77777777" w:rsidR="007D2462" w:rsidRPr="00B21C84" w:rsidRDefault="007D2462" w:rsidP="007D2462">
      <w:pPr>
        <w:ind w:firstLine="720"/>
        <w:jc w:val="both"/>
        <w:rPr>
          <w:sz w:val="22"/>
          <w:szCs w:val="22"/>
        </w:rPr>
      </w:pPr>
      <w:r w:rsidRPr="00B21C84">
        <w:rPr>
          <w:sz w:val="22"/>
          <w:szCs w:val="22"/>
        </w:rPr>
        <w:t>Adaptarea infrastructurii la nevoia de servicii medicale este imposibilă şi se impune construirea unei clădiri noi. Având în vedere situaţia existentă, se impune comasarea întregii structuri organizatorice în cadrul unei investiţii care să asigure funcţionarea unitară a activităţii medicale care va duce la îmbunătăţirea accesului la asistență medicală, la eficientizarea din punctul de vedere al costurilor, inclusiv prin favorizarea tratamentului ambulatoriu.</w:t>
      </w:r>
    </w:p>
    <w:p w14:paraId="3CCAFBC8" w14:textId="77777777" w:rsidR="007D2462" w:rsidRPr="00B21C84" w:rsidRDefault="007D2462" w:rsidP="007D2462">
      <w:pPr>
        <w:ind w:firstLine="720"/>
        <w:jc w:val="both"/>
        <w:rPr>
          <w:sz w:val="22"/>
          <w:szCs w:val="22"/>
        </w:rPr>
      </w:pPr>
      <w:r w:rsidRPr="00B21C84">
        <w:rPr>
          <w:sz w:val="22"/>
          <w:szCs w:val="22"/>
        </w:rPr>
        <w:t xml:space="preserve"> Investiţia răspund</w:t>
      </w:r>
      <w:r w:rsidR="00707095" w:rsidRPr="00B21C84">
        <w:rPr>
          <w:sz w:val="22"/>
          <w:szCs w:val="22"/>
        </w:rPr>
        <w:t xml:space="preserve">e nevoii identificate de PNRR: </w:t>
      </w:r>
      <w:r w:rsidRPr="00B21C84">
        <w:rPr>
          <w:sz w:val="22"/>
          <w:szCs w:val="22"/>
        </w:rPr>
        <w:t>realizarea unui sistem medical eficient și accesibil constituie o condiție esențială pentru creșterea calității și duratei de viață, dar și creșterea rezilienței în situații extreme ca cea cauzată de actuala pandemie. Astfel, a devenit din ce în ce mai presantă nevoia de a investi în construcția și dezvoltarea spitalelor și secțiilo</w:t>
      </w:r>
      <w:r w:rsidR="00707095" w:rsidRPr="00B21C84">
        <w:rPr>
          <w:sz w:val="22"/>
          <w:szCs w:val="22"/>
        </w:rPr>
        <w:t>r.</w:t>
      </w:r>
      <w:r w:rsidRPr="00B21C84">
        <w:rPr>
          <w:sz w:val="22"/>
          <w:szCs w:val="22"/>
        </w:rPr>
        <w:t xml:space="preserve"> </w:t>
      </w:r>
    </w:p>
    <w:p w14:paraId="522A0E02" w14:textId="77777777" w:rsidR="007D2462" w:rsidRPr="00B21C84" w:rsidRDefault="007D2462" w:rsidP="007D2462">
      <w:pPr>
        <w:ind w:firstLine="720"/>
        <w:jc w:val="both"/>
        <w:rPr>
          <w:sz w:val="22"/>
          <w:szCs w:val="22"/>
        </w:rPr>
      </w:pPr>
      <w:r w:rsidRPr="00B21C84">
        <w:rPr>
          <w:sz w:val="22"/>
          <w:szCs w:val="22"/>
        </w:rPr>
        <w:t xml:space="preserve">Investiţia contribuie la obiectivele specifice </w:t>
      </w:r>
      <w:r w:rsidR="00707095" w:rsidRPr="00B21C84">
        <w:rPr>
          <w:sz w:val="22"/>
          <w:szCs w:val="22"/>
        </w:rPr>
        <w:t xml:space="preserve">ale PNRR: </w:t>
      </w:r>
      <w:r w:rsidRPr="00B21C84">
        <w:rPr>
          <w:sz w:val="22"/>
          <w:szCs w:val="22"/>
        </w:rPr>
        <w:t>creșterea accesului la servicii publice de sănătate de înaltă calitate și îmbunătățirea accesului la servicii multidisciplinare prin investiții în infrastructura spitalelor județene de urgență, spitalelor de urgență, spitalelor clinice, spitalelor de pediatrie, institutelor de pneumoftiziologie/gerontologie și geriatrie, unităților sanitare de urgență</w:t>
      </w:r>
      <w:r w:rsidR="00707095" w:rsidRPr="00B21C84">
        <w:rPr>
          <w:sz w:val="22"/>
          <w:szCs w:val="22"/>
        </w:rPr>
        <w:t xml:space="preserve"> .</w:t>
      </w:r>
    </w:p>
    <w:p w14:paraId="32684136" w14:textId="77777777" w:rsidR="007D2462" w:rsidRPr="00B21C84" w:rsidRDefault="007D2462" w:rsidP="007D2462">
      <w:pPr>
        <w:ind w:firstLine="720"/>
        <w:jc w:val="both"/>
        <w:rPr>
          <w:sz w:val="22"/>
          <w:szCs w:val="22"/>
        </w:rPr>
      </w:pPr>
      <w:r w:rsidRPr="00B21C84">
        <w:rPr>
          <w:sz w:val="22"/>
          <w:szCs w:val="22"/>
        </w:rPr>
        <w:t xml:space="preserve">Obiectivul general al investiţiei este asigurarea unui acces facil al pacienților la servicii medicale de calitate, eficiente prin investiții în infrastructura de sănătate - construcţia unei maternităti şi corp administrativ în cadrul Spitalului Clinic Municipal de Urgenţă Timişoara. </w:t>
      </w:r>
    </w:p>
    <w:p w14:paraId="649A9054" w14:textId="77777777" w:rsidR="007D2462" w:rsidRPr="00B21C84" w:rsidRDefault="007D2462" w:rsidP="007D2462">
      <w:pPr>
        <w:ind w:firstLine="720"/>
        <w:jc w:val="both"/>
        <w:rPr>
          <w:sz w:val="22"/>
          <w:szCs w:val="22"/>
        </w:rPr>
      </w:pPr>
      <w:r w:rsidRPr="00B21C84">
        <w:rPr>
          <w:sz w:val="22"/>
          <w:szCs w:val="22"/>
        </w:rPr>
        <w:t xml:space="preserve">Scopul investiţiei este realizarea unei infrastructuri sanitare adaptate nevoilor și provocărilor actuale, în acord cu standardele europene și cu condițiile igienico-sanitare naționale în vigoare, pentru a crește accesul pacienților la servicii medicale de calitate, eficiente și eficace, precum și la servicii medicale complexe de diagnostic și tratament. </w:t>
      </w:r>
      <w:r w:rsidRPr="00B21C84">
        <w:rPr>
          <w:sz w:val="22"/>
          <w:szCs w:val="22"/>
        </w:rPr>
        <w:tab/>
      </w:r>
    </w:p>
    <w:p w14:paraId="189FCCF2" w14:textId="77777777" w:rsidR="002440C4" w:rsidRPr="00B21C84" w:rsidRDefault="003C3415" w:rsidP="001425B6">
      <w:pPr>
        <w:autoSpaceDE w:val="0"/>
        <w:autoSpaceDN w:val="0"/>
        <w:adjustRightInd w:val="0"/>
        <w:jc w:val="both"/>
        <w:rPr>
          <w:sz w:val="22"/>
          <w:szCs w:val="22"/>
          <w:lang w:eastAsia="ro-RO"/>
        </w:rPr>
      </w:pPr>
      <w:r w:rsidRPr="00B21C84">
        <w:rPr>
          <w:sz w:val="22"/>
          <w:szCs w:val="22"/>
          <w:lang w:eastAsia="ro-RO"/>
        </w:rPr>
        <w:t xml:space="preserve"> </w:t>
      </w:r>
      <w:r w:rsidR="007D2462" w:rsidRPr="00B21C84">
        <w:rPr>
          <w:sz w:val="22"/>
          <w:szCs w:val="22"/>
          <w:lang w:eastAsia="ro-RO"/>
        </w:rPr>
        <w:tab/>
      </w:r>
      <w:r w:rsidRPr="00B21C84">
        <w:rPr>
          <w:sz w:val="22"/>
          <w:szCs w:val="22"/>
          <w:lang w:eastAsia="ro-RO"/>
        </w:rPr>
        <w:t>Pentru a putea realiza creșterea performanțelor energetice a acest</w:t>
      </w:r>
      <w:r w:rsidR="002440C4" w:rsidRPr="00B21C84">
        <w:rPr>
          <w:sz w:val="22"/>
          <w:szCs w:val="22"/>
          <w:lang w:eastAsia="ro-RO"/>
        </w:rPr>
        <w:t>ei</w:t>
      </w:r>
      <w:r w:rsidRPr="00B21C84">
        <w:rPr>
          <w:sz w:val="22"/>
          <w:szCs w:val="22"/>
          <w:lang w:eastAsia="ro-RO"/>
        </w:rPr>
        <w:t xml:space="preserve"> clădiri publice în concordanță cu </w:t>
      </w:r>
      <w:r w:rsidRPr="00B21C84">
        <w:rPr>
          <w:color w:val="000000" w:themeColor="text1"/>
          <w:sz w:val="22"/>
          <w:szCs w:val="22"/>
          <w:lang w:eastAsia="ro-RO"/>
        </w:rPr>
        <w:t xml:space="preserve">prevederile legislației actuale,  la deschiderea apelului de proiecte și în vederea depunerii proiectului spre finanțare în cadrul </w:t>
      </w:r>
      <w:r w:rsidRPr="00B21C84">
        <w:rPr>
          <w:color w:val="000000" w:themeColor="text1"/>
          <w:sz w:val="22"/>
          <w:szCs w:val="22"/>
        </w:rPr>
        <w:t xml:space="preserve">apelului de proiecte care se va deschide prin </w:t>
      </w:r>
      <w:r w:rsidR="007D2462" w:rsidRPr="00B21C84">
        <w:rPr>
          <w:iCs/>
          <w:color w:val="000000" w:themeColor="text1"/>
          <w:sz w:val="22"/>
          <w:szCs w:val="22"/>
        </w:rPr>
        <w:t xml:space="preserve">Componenta 12: Sănătate, Investiția: I2. Dezvoltarea </w:t>
      </w:r>
      <w:r w:rsidR="007D2462" w:rsidRPr="00B21C84">
        <w:rPr>
          <w:iCs/>
          <w:color w:val="000000" w:themeColor="text1"/>
          <w:sz w:val="22"/>
          <w:szCs w:val="22"/>
        </w:rPr>
        <w:lastRenderedPageBreak/>
        <w:t>infrastructurii spitalicești publice, Investiția specifică: I2.1 - Infrastructură spitalicească publică nouă și Investiția specifică: I2.2 - Echipamente și aparatură medicală</w:t>
      </w:r>
      <w:r w:rsidRPr="00B21C84">
        <w:rPr>
          <w:color w:val="000000" w:themeColor="text1"/>
          <w:sz w:val="22"/>
          <w:szCs w:val="22"/>
        </w:rPr>
        <w:t>– Planul Național Redresare și Reziliență (PNRR 2020-2026)</w:t>
      </w:r>
      <w:r w:rsidR="003C7E43" w:rsidRPr="00B21C84">
        <w:rPr>
          <w:color w:val="000000" w:themeColor="text1"/>
          <w:sz w:val="22"/>
          <w:szCs w:val="22"/>
        </w:rPr>
        <w:t xml:space="preserve"> </w:t>
      </w:r>
      <w:r w:rsidR="007D2462" w:rsidRPr="00B21C84">
        <w:rPr>
          <w:color w:val="000000" w:themeColor="text1"/>
          <w:sz w:val="22"/>
          <w:szCs w:val="22"/>
        </w:rPr>
        <w:t>.</w:t>
      </w:r>
      <w:r w:rsidR="002440C4" w:rsidRPr="00B21C84">
        <w:rPr>
          <w:sz w:val="22"/>
          <w:szCs w:val="22"/>
          <w:lang w:eastAsia="ro-RO"/>
        </w:rPr>
        <w:t xml:space="preserve">  </w:t>
      </w:r>
      <w:r w:rsidR="002440C4" w:rsidRPr="00B21C84">
        <w:rPr>
          <w:sz w:val="22"/>
          <w:szCs w:val="22"/>
          <w:lang w:eastAsia="ro-RO"/>
        </w:rPr>
        <w:tab/>
      </w:r>
    </w:p>
    <w:p w14:paraId="45861F01" w14:textId="77777777" w:rsidR="00396FF7" w:rsidRPr="00B21C84" w:rsidRDefault="003C3415" w:rsidP="003C3415">
      <w:pPr>
        <w:tabs>
          <w:tab w:val="left" w:pos="426"/>
        </w:tabs>
        <w:autoSpaceDE w:val="0"/>
        <w:autoSpaceDN w:val="0"/>
        <w:adjustRightInd w:val="0"/>
        <w:jc w:val="both"/>
        <w:rPr>
          <w:b/>
          <w:color w:val="000000"/>
          <w:spacing w:val="-5"/>
          <w:sz w:val="22"/>
          <w:szCs w:val="22"/>
        </w:rPr>
      </w:pPr>
      <w:r w:rsidRPr="00B21C84">
        <w:rPr>
          <w:b/>
          <w:color w:val="000000"/>
          <w:spacing w:val="-5"/>
          <w:sz w:val="22"/>
          <w:szCs w:val="22"/>
        </w:rPr>
        <w:t xml:space="preserve">2. </w:t>
      </w:r>
      <w:r w:rsidR="00E435F0" w:rsidRPr="00B21C84">
        <w:rPr>
          <w:b/>
          <w:color w:val="000000"/>
          <w:spacing w:val="-5"/>
          <w:sz w:val="22"/>
          <w:szCs w:val="22"/>
        </w:rPr>
        <w:t>Schimbări</w:t>
      </w:r>
      <w:r w:rsidR="00396FF7" w:rsidRPr="00B21C84">
        <w:rPr>
          <w:b/>
          <w:color w:val="000000"/>
          <w:spacing w:val="-5"/>
          <w:sz w:val="22"/>
          <w:szCs w:val="22"/>
        </w:rPr>
        <w:t xml:space="preserve"> preconizate și rezultate așteptate</w:t>
      </w:r>
    </w:p>
    <w:p w14:paraId="456040F4" w14:textId="77777777" w:rsidR="007D2462" w:rsidRPr="00B21C84" w:rsidRDefault="007D2462" w:rsidP="001425B6">
      <w:pPr>
        <w:ind w:firstLine="720"/>
        <w:jc w:val="both"/>
        <w:rPr>
          <w:sz w:val="22"/>
          <w:szCs w:val="22"/>
        </w:rPr>
      </w:pPr>
      <w:r w:rsidRPr="00B21C84">
        <w:rPr>
          <w:sz w:val="22"/>
          <w:szCs w:val="22"/>
        </w:rPr>
        <w:t xml:space="preserve">Construcția și dotarea unei clădiri noi cu investiții în ambulatoriu, spații spitalizare de zi, centru de screening prenatal şi centru de screening al cancerului genito-mamar, bloc de naşteri, bloc operator, sterilizare, laborator de analize medicale și imagistică, laborator de fertilizare in vitro, spații cercetare, spații cazare pacienți, spații dedicate formării, investiții în spatii administrative (bloc alimentar, bloc lenjerie, spălătorie) alte infrastructuri necesare (birouri, infrastructura de utilități); </w:t>
      </w:r>
    </w:p>
    <w:p w14:paraId="18A8B772" w14:textId="77777777" w:rsidR="007D2462" w:rsidRPr="00B21C84" w:rsidRDefault="007D2462" w:rsidP="007D2462">
      <w:pPr>
        <w:ind w:firstLine="720"/>
        <w:jc w:val="both"/>
        <w:rPr>
          <w:sz w:val="22"/>
          <w:szCs w:val="22"/>
        </w:rPr>
      </w:pPr>
      <w:r w:rsidRPr="00B21C84">
        <w:rPr>
          <w:sz w:val="22"/>
          <w:szCs w:val="22"/>
        </w:rPr>
        <w:t xml:space="preserve">Creșterea activității în ambulatoriu și spitalizare de zi cu 10% și scăderea numărului de paturi de obstetrică-ginecologie pentru internare continuă de la 160 la 150; </w:t>
      </w:r>
    </w:p>
    <w:p w14:paraId="1B924BFC" w14:textId="77777777" w:rsidR="007D2462" w:rsidRPr="00B21C84" w:rsidRDefault="007D2462" w:rsidP="007D2462">
      <w:pPr>
        <w:ind w:firstLine="720"/>
        <w:jc w:val="both"/>
        <w:rPr>
          <w:sz w:val="22"/>
          <w:szCs w:val="22"/>
        </w:rPr>
      </w:pPr>
      <w:r w:rsidRPr="00B21C84">
        <w:rPr>
          <w:sz w:val="22"/>
          <w:szCs w:val="22"/>
        </w:rPr>
        <w:t xml:space="preserve">Dezvoltarea centrelor de screening prenatal si al cancerului genito-mamar; </w:t>
      </w:r>
    </w:p>
    <w:p w14:paraId="5679C588" w14:textId="77777777" w:rsidR="007D2462" w:rsidRPr="00B21C84" w:rsidRDefault="007D2462" w:rsidP="007D2462">
      <w:pPr>
        <w:ind w:firstLine="720"/>
        <w:jc w:val="both"/>
        <w:rPr>
          <w:sz w:val="22"/>
          <w:szCs w:val="22"/>
        </w:rPr>
      </w:pPr>
      <w:r w:rsidRPr="00B21C84">
        <w:rPr>
          <w:sz w:val="22"/>
          <w:szCs w:val="22"/>
        </w:rPr>
        <w:t xml:space="preserve">Creșterea gradului de accesibilitate al populației din mediul rural la serviciile medicale prin intermediul Unitățilo Mobile de screening si prin utilizarea sistemului de telemedicină. </w:t>
      </w:r>
    </w:p>
    <w:p w14:paraId="189BDB15" w14:textId="77777777" w:rsidR="007D2462" w:rsidRPr="00B21C84" w:rsidRDefault="007D2462" w:rsidP="007D2462">
      <w:pPr>
        <w:ind w:firstLine="720"/>
        <w:jc w:val="both"/>
        <w:rPr>
          <w:sz w:val="22"/>
          <w:szCs w:val="22"/>
        </w:rPr>
      </w:pPr>
      <w:r w:rsidRPr="00B21C84">
        <w:rPr>
          <w:sz w:val="22"/>
          <w:szCs w:val="22"/>
        </w:rPr>
        <w:t>Infrastructură publică de sănătate creată va acorda servicii medicale multidisciplinare de obstetrică-ginecologie şi neonatologie, laborator analize medicale (hematologie, biochimie, genetică medicală, microbiologie) laborator radiologie şi imagistică medicală (radiologie, ecografie, CT), serviciu anatomie patologică şi imunohistochimie, laborator fertilizare in vitro, centru regional de screening prenatal, centru de screening al cancerului genito-mamar, centru de boli rare oculare, departament de cercetare în obstetrică-ginecologie şi neonatologie, ambulatoriu de obstetrică-ginecologie şi neonatologie/ pediatrie, plannig familial.</w:t>
      </w:r>
    </w:p>
    <w:p w14:paraId="2E3084F4" w14:textId="6C80685D" w:rsidR="00A106A8" w:rsidRDefault="007D2462" w:rsidP="007D2462">
      <w:pPr>
        <w:pStyle w:val="HTMLPreformatted"/>
        <w:shd w:val="clear" w:color="auto" w:fill="FFFFFF"/>
        <w:tabs>
          <w:tab w:val="clear" w:pos="916"/>
          <w:tab w:val="decimal" w:pos="0"/>
          <w:tab w:val="left" w:pos="709"/>
        </w:tabs>
        <w:jc w:val="both"/>
        <w:rPr>
          <w:rFonts w:ascii="Times New Roman" w:hAnsi="Times New Roman"/>
          <w:sz w:val="22"/>
          <w:szCs w:val="22"/>
          <w:lang w:val="ro-RO"/>
        </w:rPr>
      </w:pPr>
      <w:r w:rsidRPr="00B21C84">
        <w:rPr>
          <w:rFonts w:ascii="Times New Roman" w:hAnsi="Times New Roman"/>
          <w:sz w:val="22"/>
          <w:szCs w:val="22"/>
          <w:lang w:val="ro-RO"/>
        </w:rPr>
        <w:tab/>
        <w:t>Clădirea nouă cu destinația de maternitate și sediu administrativ are regim de înălțime S+Ds+P+4E+E5R cu următoarele înălțimi de nivel: hE=4m; hS = 3.5m H max. coama = +27,50m S construita existenta = 0,00 mp S construita desfășurată existenta = 0,00 mp S construita propusa = 3.856,00 mp S desfășurată propusa = 28.357,00 mp Spații verzi amenajate = 2.000 mp Platforme betonate, parcări, alei = 2.144 mp</w:t>
      </w:r>
      <w:r w:rsidR="00B21C84">
        <w:rPr>
          <w:rFonts w:ascii="Times New Roman" w:hAnsi="Times New Roman"/>
          <w:sz w:val="22"/>
          <w:szCs w:val="22"/>
          <w:lang w:val="ro-RO"/>
        </w:rPr>
        <w:t>.</w:t>
      </w:r>
    </w:p>
    <w:p w14:paraId="1530B54B" w14:textId="77777777" w:rsidR="00B21C84" w:rsidRPr="00B21C84" w:rsidRDefault="00B21C84" w:rsidP="007D2462">
      <w:pPr>
        <w:pStyle w:val="HTMLPreformatted"/>
        <w:shd w:val="clear" w:color="auto" w:fill="FFFFFF"/>
        <w:tabs>
          <w:tab w:val="clear" w:pos="916"/>
          <w:tab w:val="decimal" w:pos="0"/>
          <w:tab w:val="left" w:pos="709"/>
        </w:tabs>
        <w:jc w:val="both"/>
        <w:rPr>
          <w:rFonts w:ascii="Times New Roman" w:hAnsi="Times New Roman"/>
          <w:sz w:val="22"/>
          <w:szCs w:val="22"/>
        </w:rPr>
      </w:pPr>
    </w:p>
    <w:p w14:paraId="166953B1" w14:textId="77777777" w:rsidR="009D1CAE" w:rsidRPr="00B21C84" w:rsidRDefault="003A5FB0" w:rsidP="003A5FB0">
      <w:pPr>
        <w:ind w:left="142"/>
        <w:jc w:val="both"/>
        <w:rPr>
          <w:b/>
          <w:color w:val="000000" w:themeColor="text1"/>
          <w:spacing w:val="15"/>
          <w:sz w:val="22"/>
          <w:szCs w:val="22"/>
        </w:rPr>
      </w:pPr>
      <w:r w:rsidRPr="00B21C84">
        <w:rPr>
          <w:b/>
          <w:color w:val="000000" w:themeColor="text1"/>
          <w:spacing w:val="15"/>
          <w:sz w:val="22"/>
          <w:szCs w:val="22"/>
        </w:rPr>
        <w:t xml:space="preserve">3. </w:t>
      </w:r>
      <w:r w:rsidR="0034492C" w:rsidRPr="00B21C84">
        <w:rPr>
          <w:b/>
          <w:color w:val="000000" w:themeColor="text1"/>
          <w:spacing w:val="15"/>
          <w:sz w:val="22"/>
          <w:szCs w:val="22"/>
        </w:rPr>
        <w:t>Concluzii</w:t>
      </w:r>
      <w:r w:rsidR="00064271" w:rsidRPr="00B21C84">
        <w:rPr>
          <w:b/>
          <w:color w:val="000000" w:themeColor="text1"/>
          <w:spacing w:val="15"/>
          <w:sz w:val="22"/>
          <w:szCs w:val="22"/>
        </w:rPr>
        <w:t>:</w:t>
      </w:r>
    </w:p>
    <w:p w14:paraId="1679FA32" w14:textId="2521EB85" w:rsidR="003D282E" w:rsidRDefault="00A106A8" w:rsidP="00B21C84">
      <w:pPr>
        <w:autoSpaceDE w:val="0"/>
        <w:autoSpaceDN w:val="0"/>
        <w:adjustRightInd w:val="0"/>
        <w:ind w:firstLine="720"/>
        <w:jc w:val="both"/>
        <w:rPr>
          <w:b/>
          <w:bCs/>
          <w:color w:val="000000"/>
          <w:sz w:val="22"/>
          <w:szCs w:val="22"/>
        </w:rPr>
      </w:pPr>
      <w:r w:rsidRPr="00B21C84">
        <w:rPr>
          <w:bCs/>
          <w:color w:val="000000" w:themeColor="text1"/>
          <w:sz w:val="22"/>
          <w:szCs w:val="22"/>
        </w:rPr>
        <w:t xml:space="preserve">Având în vedere necesitatea și oportunitatea accesării fondurilor </w:t>
      </w:r>
      <w:r w:rsidR="00B51530" w:rsidRPr="00B21C84">
        <w:rPr>
          <w:bCs/>
          <w:color w:val="000000" w:themeColor="text1"/>
          <w:sz w:val="22"/>
          <w:szCs w:val="22"/>
        </w:rPr>
        <w:t xml:space="preserve">europene </w:t>
      </w:r>
      <w:r w:rsidRPr="00B21C84">
        <w:rPr>
          <w:bCs/>
          <w:color w:val="000000" w:themeColor="text1"/>
          <w:sz w:val="22"/>
          <w:szCs w:val="22"/>
        </w:rPr>
        <w:t>nerambursabile disponibile prin</w:t>
      </w:r>
      <w:r w:rsidR="007D2462" w:rsidRPr="00B21C84">
        <w:rPr>
          <w:bCs/>
          <w:color w:val="000000" w:themeColor="text1"/>
          <w:sz w:val="22"/>
          <w:szCs w:val="22"/>
        </w:rPr>
        <w:t xml:space="preserve"> </w:t>
      </w:r>
      <w:r w:rsidR="007D2462" w:rsidRPr="00B21C84">
        <w:rPr>
          <w:color w:val="000000" w:themeColor="text1"/>
          <w:sz w:val="22"/>
          <w:szCs w:val="22"/>
        </w:rPr>
        <w:t xml:space="preserve">Planului naţional de redresare şi rezilienţă în cadrul apelului de proiecte, </w:t>
      </w:r>
      <w:r w:rsidR="00B21C84" w:rsidRPr="00B21C84">
        <w:rPr>
          <w:b/>
          <w:color w:val="000000"/>
          <w:sz w:val="22"/>
          <w:szCs w:val="22"/>
        </w:rPr>
        <w:t xml:space="preserve">apelul de proiecte competitiv cu beneficiari preselectați </w:t>
      </w:r>
      <w:r w:rsidR="00B21C84">
        <w:rPr>
          <w:b/>
          <w:color w:val="000000"/>
          <w:sz w:val="22"/>
          <w:szCs w:val="22"/>
        </w:rPr>
        <w:t>-</w:t>
      </w:r>
      <w:r w:rsidR="007D2462" w:rsidRPr="00B21C84">
        <w:rPr>
          <w:color w:val="000000" w:themeColor="text1"/>
          <w:sz w:val="22"/>
          <w:szCs w:val="22"/>
        </w:rPr>
        <w:t xml:space="preserve">Cod </w:t>
      </w:r>
      <w:r w:rsidR="007D2462" w:rsidRPr="00B21C84">
        <w:rPr>
          <w:iCs/>
          <w:color w:val="000000" w:themeColor="text1"/>
          <w:sz w:val="22"/>
          <w:szCs w:val="22"/>
        </w:rPr>
        <w:t xml:space="preserve">Apel: MS-0212, Componenta 12: Sănătate, Investiția: I2. Dezvoltarea infrastructurii spitalicești publice, Investiția specifică: I2.1 - Infrastructură spitalicească publică nouă și Investiția specifică: I2.2 - Echipamente și aparatură medicală </w:t>
      </w:r>
      <w:r w:rsidR="007D2462" w:rsidRPr="00B21C84">
        <w:rPr>
          <w:bCs/>
          <w:color w:val="000000" w:themeColor="text1"/>
          <w:sz w:val="22"/>
          <w:szCs w:val="22"/>
        </w:rPr>
        <w:t xml:space="preserve">se propune depunerea  spre finanțare, prin intermediul </w:t>
      </w:r>
      <w:r w:rsidR="007D2462" w:rsidRPr="00B21C84">
        <w:rPr>
          <w:rStyle w:val="spar"/>
          <w:color w:val="000000" w:themeColor="text1"/>
          <w:sz w:val="22"/>
          <w:szCs w:val="22"/>
        </w:rPr>
        <w:t xml:space="preserve">aplicației electronice www.mdlpa.ro/investitii/PNRR, </w:t>
      </w:r>
      <w:r w:rsidR="007D2462" w:rsidRPr="00B21C84">
        <w:rPr>
          <w:bCs/>
          <w:color w:val="000000" w:themeColor="text1"/>
          <w:sz w:val="22"/>
          <w:szCs w:val="22"/>
        </w:rPr>
        <w:t xml:space="preserve"> a </w:t>
      </w:r>
      <w:r w:rsidR="007D2462" w:rsidRPr="00B21C84">
        <w:rPr>
          <w:color w:val="000000" w:themeColor="text1"/>
          <w:sz w:val="22"/>
          <w:szCs w:val="22"/>
        </w:rPr>
        <w:t>proiectulu</w:t>
      </w:r>
      <w:r w:rsidR="00B21C84">
        <w:rPr>
          <w:color w:val="000000" w:themeColor="text1"/>
          <w:sz w:val="22"/>
          <w:szCs w:val="22"/>
        </w:rPr>
        <w:t>i</w:t>
      </w:r>
      <w:r w:rsidR="00707095" w:rsidRPr="00B21C84">
        <w:rPr>
          <w:b/>
          <w:color w:val="000000" w:themeColor="text1"/>
          <w:sz w:val="22"/>
          <w:szCs w:val="22"/>
        </w:rPr>
        <w:t xml:space="preserve"> </w:t>
      </w:r>
      <w:r w:rsidR="00D45B20" w:rsidRPr="00B21C84">
        <w:rPr>
          <w:b/>
          <w:sz w:val="22"/>
          <w:szCs w:val="22"/>
        </w:rPr>
        <w:t>„</w:t>
      </w:r>
      <w:r w:rsidR="00D45B20" w:rsidRPr="00B21C84">
        <w:rPr>
          <w:b/>
          <w:i/>
          <w:iCs/>
          <w:sz w:val="22"/>
          <w:szCs w:val="22"/>
        </w:rPr>
        <w:t>Servicii medicale de calitate prin construcția și dotarea unei noi maternități în cadrul Spitalul Clinic Municipal de Urgență din Timișoara</w:t>
      </w:r>
      <w:r w:rsidR="00D45B20" w:rsidRPr="00B21C84">
        <w:rPr>
          <w:b/>
          <w:sz w:val="22"/>
          <w:szCs w:val="22"/>
          <w:lang w:val="en-US"/>
        </w:rPr>
        <w:t>”</w:t>
      </w:r>
      <w:r w:rsidR="00B21C84">
        <w:rPr>
          <w:b/>
          <w:sz w:val="22"/>
          <w:szCs w:val="22"/>
          <w:lang w:val="en-US"/>
        </w:rPr>
        <w:t xml:space="preserve"> </w:t>
      </w:r>
      <w:r w:rsidR="00B21C84" w:rsidRPr="00B21C84">
        <w:rPr>
          <w:bCs/>
          <w:sz w:val="22"/>
          <w:szCs w:val="22"/>
          <w:lang w:val="en-US"/>
        </w:rPr>
        <w:t>în vederea realizării obiectivului de invest</w:t>
      </w:r>
      <w:r w:rsidR="00B21C84">
        <w:rPr>
          <w:bCs/>
          <w:sz w:val="22"/>
          <w:szCs w:val="22"/>
          <w:lang w:val="en-US"/>
        </w:rPr>
        <w:t>iți</w:t>
      </w:r>
      <w:r w:rsidR="00B21C84" w:rsidRPr="00B21C84">
        <w:rPr>
          <w:bCs/>
          <w:sz w:val="22"/>
          <w:szCs w:val="22"/>
          <w:lang w:val="en-US"/>
        </w:rPr>
        <w:t>e publică</w:t>
      </w:r>
      <w:r w:rsidR="00B21C84">
        <w:rPr>
          <w:b/>
          <w:sz w:val="22"/>
          <w:szCs w:val="22"/>
          <w:lang w:val="en-US"/>
        </w:rPr>
        <w:t xml:space="preserve"> </w:t>
      </w:r>
      <w:r w:rsidR="00B21C84" w:rsidRPr="00BE3A3F">
        <w:rPr>
          <w:bCs/>
          <w:color w:val="000000"/>
          <w:sz w:val="22"/>
          <w:szCs w:val="22"/>
        </w:rPr>
        <w:t>„Construcție în regim maxim de înălțime, cu funcții mixte (administrative, birouri și Spital), împrejmuire și amenajare incintă și realizarea branșamentelor la rețelele utilitare pentru Spitalul Clinic Municipal de Urgență”</w:t>
      </w:r>
      <w:r w:rsidR="00B21C84">
        <w:rPr>
          <w:bCs/>
          <w:color w:val="000000"/>
          <w:sz w:val="22"/>
          <w:szCs w:val="22"/>
        </w:rPr>
        <w:t>.</w:t>
      </w:r>
    </w:p>
    <w:p w14:paraId="6BCEFD76" w14:textId="27D3FC8E" w:rsidR="00B21C84" w:rsidRDefault="00B21C84" w:rsidP="00FC1546">
      <w:pPr>
        <w:rPr>
          <w:b/>
          <w:bCs/>
          <w:color w:val="000000"/>
          <w:sz w:val="22"/>
          <w:szCs w:val="22"/>
        </w:rPr>
      </w:pPr>
    </w:p>
    <w:p w14:paraId="0A8CA556" w14:textId="77777777" w:rsidR="00B21C84" w:rsidRDefault="00B21C84" w:rsidP="00FC1546">
      <w:pPr>
        <w:rPr>
          <w:b/>
          <w:bCs/>
          <w:color w:val="000000"/>
          <w:sz w:val="22"/>
          <w:szCs w:val="22"/>
        </w:rPr>
      </w:pPr>
    </w:p>
    <w:p w14:paraId="38A5A884" w14:textId="77777777" w:rsidR="00B21C84" w:rsidRPr="00B21C84" w:rsidRDefault="00B21C84" w:rsidP="00FC1546">
      <w:pPr>
        <w:rPr>
          <w:b/>
          <w:bCs/>
          <w:color w:val="000000"/>
          <w:sz w:val="22"/>
          <w:szCs w:val="22"/>
        </w:rPr>
      </w:pPr>
    </w:p>
    <w:p w14:paraId="60800ECD" w14:textId="5E8842F0" w:rsidR="007D1483" w:rsidRPr="00B21C84" w:rsidRDefault="00FC1546" w:rsidP="003C3415">
      <w:pPr>
        <w:ind w:firstLine="720"/>
        <w:rPr>
          <w:b/>
          <w:spacing w:val="-1"/>
          <w:sz w:val="22"/>
          <w:szCs w:val="22"/>
        </w:rPr>
      </w:pPr>
      <w:r w:rsidRPr="00B21C84">
        <w:rPr>
          <w:b/>
          <w:bCs/>
          <w:color w:val="000000"/>
          <w:sz w:val="22"/>
          <w:szCs w:val="22"/>
        </w:rPr>
        <w:t xml:space="preserve">     </w:t>
      </w:r>
      <w:r w:rsidR="00A106A8" w:rsidRPr="00B21C84">
        <w:rPr>
          <w:b/>
          <w:bCs/>
          <w:color w:val="000000"/>
          <w:sz w:val="22"/>
          <w:szCs w:val="22"/>
        </w:rPr>
        <w:t>PRIMAR</w:t>
      </w:r>
      <w:r w:rsidRPr="00B21C84">
        <w:rPr>
          <w:b/>
          <w:spacing w:val="-1"/>
          <w:sz w:val="22"/>
          <w:szCs w:val="22"/>
        </w:rPr>
        <w:t xml:space="preserve"> </w:t>
      </w:r>
      <w:r w:rsidR="003C3415" w:rsidRPr="00B21C84">
        <w:rPr>
          <w:b/>
          <w:spacing w:val="-1"/>
          <w:sz w:val="22"/>
          <w:szCs w:val="22"/>
        </w:rPr>
        <w:tab/>
      </w:r>
      <w:r w:rsidR="003C3415" w:rsidRPr="00B21C84">
        <w:rPr>
          <w:b/>
          <w:spacing w:val="-1"/>
          <w:sz w:val="22"/>
          <w:szCs w:val="22"/>
        </w:rPr>
        <w:tab/>
      </w:r>
      <w:r w:rsidR="003C3415" w:rsidRPr="00B21C84">
        <w:rPr>
          <w:b/>
          <w:spacing w:val="-1"/>
          <w:sz w:val="22"/>
          <w:szCs w:val="22"/>
        </w:rPr>
        <w:tab/>
      </w:r>
      <w:r w:rsidR="003C3415" w:rsidRPr="00B21C84">
        <w:rPr>
          <w:b/>
          <w:spacing w:val="-1"/>
          <w:sz w:val="22"/>
          <w:szCs w:val="22"/>
        </w:rPr>
        <w:tab/>
      </w:r>
      <w:r w:rsidR="003C3415" w:rsidRPr="00B21C84">
        <w:rPr>
          <w:b/>
          <w:spacing w:val="-1"/>
          <w:sz w:val="22"/>
          <w:szCs w:val="22"/>
        </w:rPr>
        <w:tab/>
      </w:r>
      <w:r w:rsidR="003C3415" w:rsidRPr="00B21C84">
        <w:rPr>
          <w:b/>
          <w:spacing w:val="-1"/>
          <w:sz w:val="22"/>
          <w:szCs w:val="22"/>
        </w:rPr>
        <w:tab/>
      </w:r>
      <w:r w:rsidR="003C3415" w:rsidRPr="00B21C84">
        <w:rPr>
          <w:b/>
          <w:spacing w:val="-1"/>
          <w:sz w:val="22"/>
          <w:szCs w:val="22"/>
        </w:rPr>
        <w:tab/>
      </w:r>
      <w:r w:rsidR="00B21C84" w:rsidRPr="00B21C84">
        <w:rPr>
          <w:b/>
          <w:spacing w:val="-1"/>
          <w:sz w:val="22"/>
          <w:szCs w:val="22"/>
        </w:rPr>
        <w:t xml:space="preserve">Direcția Incubator de Proiecte, </w:t>
      </w:r>
    </w:p>
    <w:p w14:paraId="2BC4C8FB" w14:textId="78A16971" w:rsidR="001425B6" w:rsidRPr="00B21C84" w:rsidRDefault="007D1483" w:rsidP="001425B6">
      <w:pPr>
        <w:ind w:firstLine="720"/>
        <w:rPr>
          <w:b/>
          <w:spacing w:val="-1"/>
          <w:sz w:val="22"/>
          <w:szCs w:val="22"/>
        </w:rPr>
      </w:pPr>
      <w:r w:rsidRPr="00B21C84">
        <w:rPr>
          <w:b/>
          <w:bCs/>
          <w:color w:val="000000"/>
          <w:sz w:val="22"/>
          <w:szCs w:val="22"/>
        </w:rPr>
        <w:t>Dominic FRITZ</w:t>
      </w:r>
      <w:r w:rsidR="00FC1546" w:rsidRPr="00B21C84">
        <w:rPr>
          <w:b/>
          <w:bCs/>
          <w:color w:val="000000"/>
          <w:sz w:val="22"/>
          <w:szCs w:val="22"/>
        </w:rPr>
        <w:tab/>
      </w:r>
      <w:r w:rsidR="00FC1546" w:rsidRPr="00B21C84">
        <w:rPr>
          <w:b/>
          <w:bCs/>
          <w:color w:val="000000"/>
          <w:sz w:val="22"/>
          <w:szCs w:val="22"/>
        </w:rPr>
        <w:tab/>
      </w:r>
      <w:r w:rsidR="00FC1546" w:rsidRPr="00B21C84">
        <w:rPr>
          <w:b/>
          <w:bCs/>
          <w:color w:val="000000"/>
          <w:sz w:val="22"/>
          <w:szCs w:val="22"/>
        </w:rPr>
        <w:tab/>
      </w:r>
      <w:r w:rsidR="001425B6" w:rsidRPr="00B21C84">
        <w:rPr>
          <w:b/>
          <w:spacing w:val="-1"/>
          <w:sz w:val="22"/>
          <w:szCs w:val="22"/>
        </w:rPr>
        <w:t xml:space="preserve"> </w:t>
      </w:r>
      <w:r w:rsidR="001425B6" w:rsidRPr="00B21C84">
        <w:rPr>
          <w:b/>
          <w:spacing w:val="-1"/>
          <w:sz w:val="22"/>
          <w:szCs w:val="22"/>
        </w:rPr>
        <w:tab/>
      </w:r>
      <w:r w:rsidR="001425B6" w:rsidRPr="00B21C84">
        <w:rPr>
          <w:b/>
          <w:spacing w:val="-1"/>
          <w:sz w:val="22"/>
          <w:szCs w:val="22"/>
        </w:rPr>
        <w:tab/>
      </w:r>
      <w:r w:rsidR="001425B6" w:rsidRPr="00B21C84">
        <w:rPr>
          <w:b/>
          <w:spacing w:val="-1"/>
          <w:sz w:val="22"/>
          <w:szCs w:val="22"/>
        </w:rPr>
        <w:tab/>
      </w:r>
      <w:r w:rsidR="00B21C84" w:rsidRPr="00B21C84">
        <w:rPr>
          <w:b/>
          <w:spacing w:val="-1"/>
          <w:sz w:val="22"/>
          <w:szCs w:val="22"/>
        </w:rPr>
        <w:t xml:space="preserve">Adriana Deaconu – director executiv </w:t>
      </w:r>
    </w:p>
    <w:p w14:paraId="375F1E59" w14:textId="77777777" w:rsidR="003A5FB0" w:rsidRPr="00B21C84" w:rsidRDefault="003A5FB0" w:rsidP="001425B6">
      <w:pPr>
        <w:ind w:firstLine="720"/>
        <w:rPr>
          <w:b/>
          <w:spacing w:val="-1"/>
          <w:sz w:val="22"/>
          <w:szCs w:val="22"/>
        </w:rPr>
      </w:pPr>
    </w:p>
    <w:p w14:paraId="571C1C04" w14:textId="428DFB87" w:rsidR="003A5FB0" w:rsidRDefault="003A5FB0" w:rsidP="001425B6">
      <w:pPr>
        <w:ind w:firstLine="720"/>
        <w:rPr>
          <w:b/>
          <w:spacing w:val="-1"/>
          <w:sz w:val="22"/>
          <w:szCs w:val="22"/>
        </w:rPr>
      </w:pPr>
    </w:p>
    <w:p w14:paraId="5BF73C2A" w14:textId="36CBF418" w:rsidR="00B21C84" w:rsidRDefault="00B21C84" w:rsidP="001425B6">
      <w:pPr>
        <w:ind w:firstLine="720"/>
        <w:rPr>
          <w:b/>
          <w:spacing w:val="-1"/>
          <w:sz w:val="22"/>
          <w:szCs w:val="22"/>
        </w:rPr>
      </w:pPr>
    </w:p>
    <w:p w14:paraId="49601895" w14:textId="069BDA22" w:rsidR="00B21C84" w:rsidRDefault="00B21C84" w:rsidP="001425B6">
      <w:pPr>
        <w:ind w:firstLine="720"/>
        <w:rPr>
          <w:b/>
          <w:spacing w:val="-1"/>
          <w:sz w:val="22"/>
          <w:szCs w:val="22"/>
        </w:rPr>
      </w:pPr>
    </w:p>
    <w:p w14:paraId="240C0133" w14:textId="5357EC35" w:rsidR="00B21C84" w:rsidRDefault="00B21C84" w:rsidP="001425B6">
      <w:pPr>
        <w:ind w:firstLine="720"/>
        <w:rPr>
          <w:b/>
          <w:spacing w:val="-1"/>
          <w:sz w:val="22"/>
          <w:szCs w:val="22"/>
        </w:rPr>
      </w:pPr>
    </w:p>
    <w:p w14:paraId="6F0D9600" w14:textId="77407BA7" w:rsidR="00C92698" w:rsidRDefault="00C92698" w:rsidP="001425B6">
      <w:pPr>
        <w:ind w:firstLine="720"/>
        <w:rPr>
          <w:b/>
          <w:spacing w:val="-1"/>
          <w:sz w:val="22"/>
          <w:szCs w:val="22"/>
        </w:rPr>
      </w:pPr>
    </w:p>
    <w:p w14:paraId="7FD4A708" w14:textId="1C18D75E" w:rsidR="00C92698" w:rsidRDefault="00C92698" w:rsidP="001425B6">
      <w:pPr>
        <w:ind w:firstLine="720"/>
        <w:rPr>
          <w:b/>
          <w:spacing w:val="-1"/>
          <w:sz w:val="22"/>
          <w:szCs w:val="22"/>
        </w:rPr>
      </w:pPr>
    </w:p>
    <w:p w14:paraId="000AF590" w14:textId="77777777" w:rsidR="00C92698" w:rsidRDefault="00C92698" w:rsidP="001425B6">
      <w:pPr>
        <w:ind w:firstLine="720"/>
        <w:rPr>
          <w:b/>
          <w:spacing w:val="-1"/>
          <w:sz w:val="22"/>
          <w:szCs w:val="22"/>
        </w:rPr>
      </w:pPr>
    </w:p>
    <w:p w14:paraId="2A64888B" w14:textId="77777777" w:rsidR="00B21C84" w:rsidRPr="00B21C84" w:rsidRDefault="00B21C84" w:rsidP="001425B6">
      <w:pPr>
        <w:ind w:firstLine="720"/>
        <w:rPr>
          <w:b/>
          <w:spacing w:val="-1"/>
          <w:sz w:val="22"/>
          <w:szCs w:val="22"/>
        </w:rPr>
      </w:pPr>
    </w:p>
    <w:p w14:paraId="52907A59" w14:textId="3F7B4292" w:rsidR="001C59EF" w:rsidRPr="00B21C84" w:rsidRDefault="001C59EF" w:rsidP="00B21C84">
      <w:pPr>
        <w:rPr>
          <w:b/>
          <w:spacing w:val="-1"/>
          <w:sz w:val="22"/>
          <w:szCs w:val="22"/>
        </w:rPr>
      </w:pPr>
      <w:r w:rsidRPr="00B21C84">
        <w:rPr>
          <w:sz w:val="22"/>
          <w:szCs w:val="22"/>
        </w:rPr>
        <w:t>NOTĂ: Elementele de natură tehnică, de detaliu, se vor regăsi în raportul de specialitate și, dacă se impune, în nota de fundamentare</w:t>
      </w:r>
      <w:r w:rsidR="00C92698">
        <w:rPr>
          <w:sz w:val="22"/>
          <w:szCs w:val="22"/>
        </w:rPr>
        <w:t>.</w:t>
      </w:r>
    </w:p>
    <w:p w14:paraId="0BB29B5A" w14:textId="77777777" w:rsidR="001C59EF" w:rsidRPr="00B21C84" w:rsidRDefault="001C59EF">
      <w:pPr>
        <w:rPr>
          <w:b/>
          <w:sz w:val="22"/>
          <w:szCs w:val="22"/>
        </w:rPr>
      </w:pPr>
    </w:p>
    <w:sectPr w:rsidR="001C59EF" w:rsidRPr="00B21C84" w:rsidSect="00F55B3D">
      <w:footerReference w:type="default" r:id="rId7"/>
      <w:pgSz w:w="12240" w:h="15840"/>
      <w:pgMar w:top="993" w:right="720" w:bottom="720" w:left="117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84D" w14:textId="77777777" w:rsidR="001425B6" w:rsidRDefault="001425B6" w:rsidP="00022B0C">
      <w:r>
        <w:separator/>
      </w:r>
    </w:p>
  </w:endnote>
  <w:endnote w:type="continuationSeparator" w:id="0">
    <w:p w14:paraId="0C536542" w14:textId="77777777" w:rsidR="001425B6" w:rsidRDefault="001425B6" w:rsidP="000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CDC9" w14:textId="77777777" w:rsidR="001425B6" w:rsidRDefault="001425B6" w:rsidP="00A106A8">
    <w:pPr>
      <w:pStyle w:val="Footer"/>
    </w:pPr>
    <w:r>
      <w:rPr>
        <w:sz w:val="22"/>
        <w:szCs w:val="22"/>
      </w:rPr>
      <w:t xml:space="preserve">                                                                                                                                    </w:t>
    </w:r>
    <w:r w:rsidRPr="00B5400E">
      <w:rPr>
        <w:sz w:val="22"/>
        <w:szCs w:val="22"/>
      </w:rPr>
      <w:t>Cod FO53-03,Ver.3</w:t>
    </w:r>
  </w:p>
  <w:p w14:paraId="4F3B9539" w14:textId="77777777" w:rsidR="001425B6" w:rsidRDefault="001425B6" w:rsidP="00A106A8">
    <w:pPr>
      <w:pStyle w:val="Footer"/>
    </w:pPr>
  </w:p>
  <w:p w14:paraId="3BD8998D" w14:textId="77777777" w:rsidR="001425B6" w:rsidRDefault="001425B6">
    <w:pPr>
      <w:pStyle w:val="Footer"/>
    </w:pPr>
  </w:p>
  <w:p w14:paraId="7F879AFF" w14:textId="77777777" w:rsidR="001425B6" w:rsidRDefault="00142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7834" w14:textId="77777777" w:rsidR="001425B6" w:rsidRDefault="001425B6" w:rsidP="00022B0C">
      <w:r>
        <w:separator/>
      </w:r>
    </w:p>
  </w:footnote>
  <w:footnote w:type="continuationSeparator" w:id="0">
    <w:p w14:paraId="34C96A97" w14:textId="77777777" w:rsidR="001425B6" w:rsidRDefault="001425B6" w:rsidP="0002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2" w15:restartNumberingAfterBreak="0">
    <w:nsid w:val="6F166CAD"/>
    <w:multiLevelType w:val="hybridMultilevel"/>
    <w:tmpl w:val="A10CB060"/>
    <w:lvl w:ilvl="0" w:tplc="D91CC1DE">
      <w:start w:val="1"/>
      <w:numFmt w:val="decimal"/>
      <w:lvlText w:val="%1."/>
      <w:lvlJc w:val="left"/>
      <w:pPr>
        <w:ind w:left="502"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4802308">
    <w:abstractNumId w:val="2"/>
  </w:num>
  <w:num w:numId="2" w16cid:durableId="1678536631">
    <w:abstractNumId w:val="0"/>
  </w:num>
  <w:num w:numId="3" w16cid:durableId="180095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92C"/>
    <w:rsid w:val="00000C3C"/>
    <w:rsid w:val="000049B2"/>
    <w:rsid w:val="00011234"/>
    <w:rsid w:val="00022B0C"/>
    <w:rsid w:val="00033722"/>
    <w:rsid w:val="00040D5D"/>
    <w:rsid w:val="00064271"/>
    <w:rsid w:val="00084E72"/>
    <w:rsid w:val="00102307"/>
    <w:rsid w:val="001425B6"/>
    <w:rsid w:val="0014770D"/>
    <w:rsid w:val="0017304B"/>
    <w:rsid w:val="001908FB"/>
    <w:rsid w:val="001A7672"/>
    <w:rsid w:val="001B0D1E"/>
    <w:rsid w:val="001C20D5"/>
    <w:rsid w:val="001C3993"/>
    <w:rsid w:val="001C59EF"/>
    <w:rsid w:val="001D63E8"/>
    <w:rsid w:val="00214958"/>
    <w:rsid w:val="00240362"/>
    <w:rsid w:val="002440C4"/>
    <w:rsid w:val="0024601B"/>
    <w:rsid w:val="00246B86"/>
    <w:rsid w:val="002766C2"/>
    <w:rsid w:val="002A130E"/>
    <w:rsid w:val="002C389F"/>
    <w:rsid w:val="002D39D1"/>
    <w:rsid w:val="002E0A4A"/>
    <w:rsid w:val="002F1874"/>
    <w:rsid w:val="00311074"/>
    <w:rsid w:val="00314802"/>
    <w:rsid w:val="00333ECE"/>
    <w:rsid w:val="00342ED0"/>
    <w:rsid w:val="0034492C"/>
    <w:rsid w:val="00345837"/>
    <w:rsid w:val="00356BC6"/>
    <w:rsid w:val="00356EE2"/>
    <w:rsid w:val="00364109"/>
    <w:rsid w:val="00375A7D"/>
    <w:rsid w:val="00387787"/>
    <w:rsid w:val="00395C55"/>
    <w:rsid w:val="00396982"/>
    <w:rsid w:val="00396FF7"/>
    <w:rsid w:val="003A4634"/>
    <w:rsid w:val="003A5FB0"/>
    <w:rsid w:val="003B2AEC"/>
    <w:rsid w:val="003C3415"/>
    <w:rsid w:val="003C7E43"/>
    <w:rsid w:val="003D282E"/>
    <w:rsid w:val="003D7C60"/>
    <w:rsid w:val="003E250F"/>
    <w:rsid w:val="003F0E0B"/>
    <w:rsid w:val="00413364"/>
    <w:rsid w:val="00414701"/>
    <w:rsid w:val="00432E71"/>
    <w:rsid w:val="0043321A"/>
    <w:rsid w:val="00445059"/>
    <w:rsid w:val="0046267C"/>
    <w:rsid w:val="004F3491"/>
    <w:rsid w:val="005060D4"/>
    <w:rsid w:val="00514DD0"/>
    <w:rsid w:val="00523DEE"/>
    <w:rsid w:val="005444D4"/>
    <w:rsid w:val="00564549"/>
    <w:rsid w:val="00581C8F"/>
    <w:rsid w:val="005866D0"/>
    <w:rsid w:val="00587600"/>
    <w:rsid w:val="00587C30"/>
    <w:rsid w:val="00594E7B"/>
    <w:rsid w:val="00596C29"/>
    <w:rsid w:val="005B2885"/>
    <w:rsid w:val="005D5283"/>
    <w:rsid w:val="005E192D"/>
    <w:rsid w:val="005F3097"/>
    <w:rsid w:val="00603794"/>
    <w:rsid w:val="006323B6"/>
    <w:rsid w:val="0063516B"/>
    <w:rsid w:val="00640578"/>
    <w:rsid w:val="006440BF"/>
    <w:rsid w:val="00672C54"/>
    <w:rsid w:val="006907A5"/>
    <w:rsid w:val="006D2156"/>
    <w:rsid w:val="006E150E"/>
    <w:rsid w:val="006F0A80"/>
    <w:rsid w:val="006F42C1"/>
    <w:rsid w:val="00702E3A"/>
    <w:rsid w:val="00707095"/>
    <w:rsid w:val="00707427"/>
    <w:rsid w:val="007223D5"/>
    <w:rsid w:val="00752995"/>
    <w:rsid w:val="0077674C"/>
    <w:rsid w:val="007A47AB"/>
    <w:rsid w:val="007D1483"/>
    <w:rsid w:val="007D2462"/>
    <w:rsid w:val="008063F2"/>
    <w:rsid w:val="00824F97"/>
    <w:rsid w:val="0082785A"/>
    <w:rsid w:val="00841AA8"/>
    <w:rsid w:val="00845302"/>
    <w:rsid w:val="00856FBA"/>
    <w:rsid w:val="008A1B8F"/>
    <w:rsid w:val="008B68D5"/>
    <w:rsid w:val="00902D9E"/>
    <w:rsid w:val="009059E6"/>
    <w:rsid w:val="00914DC9"/>
    <w:rsid w:val="00951A1A"/>
    <w:rsid w:val="009707FA"/>
    <w:rsid w:val="009755D2"/>
    <w:rsid w:val="009D1CAE"/>
    <w:rsid w:val="009E0453"/>
    <w:rsid w:val="009E6C5E"/>
    <w:rsid w:val="009F0787"/>
    <w:rsid w:val="00A106A8"/>
    <w:rsid w:val="00A25DEB"/>
    <w:rsid w:val="00A31B1C"/>
    <w:rsid w:val="00A33878"/>
    <w:rsid w:val="00A43FEC"/>
    <w:rsid w:val="00A47B5D"/>
    <w:rsid w:val="00A71CF6"/>
    <w:rsid w:val="00A84CFE"/>
    <w:rsid w:val="00A869B4"/>
    <w:rsid w:val="00A9183D"/>
    <w:rsid w:val="00AC65BC"/>
    <w:rsid w:val="00AC73EF"/>
    <w:rsid w:val="00AD58CA"/>
    <w:rsid w:val="00AE07D6"/>
    <w:rsid w:val="00B04026"/>
    <w:rsid w:val="00B079D5"/>
    <w:rsid w:val="00B21C84"/>
    <w:rsid w:val="00B51530"/>
    <w:rsid w:val="00B76094"/>
    <w:rsid w:val="00BA3470"/>
    <w:rsid w:val="00BB3443"/>
    <w:rsid w:val="00BB6726"/>
    <w:rsid w:val="00BC485C"/>
    <w:rsid w:val="00BC4ED7"/>
    <w:rsid w:val="00BD7081"/>
    <w:rsid w:val="00C209CB"/>
    <w:rsid w:val="00C21939"/>
    <w:rsid w:val="00C44C97"/>
    <w:rsid w:val="00C47503"/>
    <w:rsid w:val="00C57D03"/>
    <w:rsid w:val="00C92698"/>
    <w:rsid w:val="00C94F9A"/>
    <w:rsid w:val="00C95B82"/>
    <w:rsid w:val="00C96261"/>
    <w:rsid w:val="00CC2030"/>
    <w:rsid w:val="00CD7FE8"/>
    <w:rsid w:val="00CE0045"/>
    <w:rsid w:val="00CE56B9"/>
    <w:rsid w:val="00D00667"/>
    <w:rsid w:val="00D02901"/>
    <w:rsid w:val="00D03DCE"/>
    <w:rsid w:val="00D04C36"/>
    <w:rsid w:val="00D2286D"/>
    <w:rsid w:val="00D3033E"/>
    <w:rsid w:val="00D4510D"/>
    <w:rsid w:val="00D45B20"/>
    <w:rsid w:val="00D5113D"/>
    <w:rsid w:val="00D736BD"/>
    <w:rsid w:val="00D76CBD"/>
    <w:rsid w:val="00D901D0"/>
    <w:rsid w:val="00DE314A"/>
    <w:rsid w:val="00DF788F"/>
    <w:rsid w:val="00E274CA"/>
    <w:rsid w:val="00E435F0"/>
    <w:rsid w:val="00E44B9D"/>
    <w:rsid w:val="00E550E2"/>
    <w:rsid w:val="00E55783"/>
    <w:rsid w:val="00E560B2"/>
    <w:rsid w:val="00E666E6"/>
    <w:rsid w:val="00E73422"/>
    <w:rsid w:val="00E752D9"/>
    <w:rsid w:val="00E753C1"/>
    <w:rsid w:val="00E857A5"/>
    <w:rsid w:val="00ED50A0"/>
    <w:rsid w:val="00EE4B3D"/>
    <w:rsid w:val="00EE4DE7"/>
    <w:rsid w:val="00F23C72"/>
    <w:rsid w:val="00F54389"/>
    <w:rsid w:val="00F55B3D"/>
    <w:rsid w:val="00F5707F"/>
    <w:rsid w:val="00F83F8F"/>
    <w:rsid w:val="00FB00A4"/>
    <w:rsid w:val="00FB7ED6"/>
    <w:rsid w:val="00FC1546"/>
    <w:rsid w:val="00FD3A76"/>
    <w:rsid w:val="00FF0135"/>
    <w:rsid w:val="00FF2A11"/>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2FA3"/>
  <w15:docId w15:val="{5BB3D2C5-5E70-407D-B8AC-558C3700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 w:type="character" w:styleId="CommentReference">
    <w:name w:val="annotation reference"/>
    <w:basedOn w:val="DefaultParagraphFont"/>
    <w:uiPriority w:val="99"/>
    <w:semiHidden/>
    <w:unhideWhenUsed/>
    <w:rsid w:val="001C59EF"/>
    <w:rPr>
      <w:sz w:val="16"/>
      <w:szCs w:val="16"/>
    </w:rPr>
  </w:style>
  <w:style w:type="paragraph" w:styleId="CommentText">
    <w:name w:val="annotation text"/>
    <w:basedOn w:val="Normal"/>
    <w:link w:val="CommentTextChar"/>
    <w:uiPriority w:val="99"/>
    <w:unhideWhenUsed/>
    <w:rsid w:val="001C59EF"/>
    <w:rPr>
      <w:sz w:val="20"/>
      <w:szCs w:val="20"/>
    </w:rPr>
  </w:style>
  <w:style w:type="character" w:customStyle="1" w:styleId="CommentTextChar">
    <w:name w:val="Comment Text Char"/>
    <w:basedOn w:val="DefaultParagraphFont"/>
    <w:link w:val="CommentText"/>
    <w:uiPriority w:val="99"/>
    <w:rsid w:val="001C59EF"/>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uiPriority w:val="99"/>
    <w:semiHidden/>
    <w:unhideWhenUsed/>
    <w:rsid w:val="001C59EF"/>
    <w:rPr>
      <w:b/>
      <w:bCs/>
    </w:rPr>
  </w:style>
  <w:style w:type="character" w:customStyle="1" w:styleId="CommentSubjectChar">
    <w:name w:val="Comment Subject Char"/>
    <w:basedOn w:val="CommentTextChar"/>
    <w:link w:val="CommentSubject"/>
    <w:uiPriority w:val="99"/>
    <w:semiHidden/>
    <w:rsid w:val="001C59EF"/>
    <w:rPr>
      <w:rFonts w:ascii="Times New Roman" w:eastAsia="Times New Roman" w:hAnsi="Times New Roman" w:cs="Times New Roman"/>
      <w:b/>
      <w:bCs/>
      <w:sz w:val="20"/>
      <w:szCs w:val="20"/>
      <w:lang w:val="ro-RO" w:eastAsia="en-GB"/>
    </w:rPr>
  </w:style>
  <w:style w:type="character" w:styleId="FollowedHyperlink">
    <w:name w:val="FollowedHyperlink"/>
    <w:basedOn w:val="DefaultParagraphFont"/>
    <w:uiPriority w:val="99"/>
    <w:semiHidden/>
    <w:unhideWhenUsed/>
    <w:rsid w:val="007D2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1123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Adriana DEACONU</cp:lastModifiedBy>
  <cp:revision>13</cp:revision>
  <cp:lastPrinted>2022-12-13T06:09:00Z</cp:lastPrinted>
  <dcterms:created xsi:type="dcterms:W3CDTF">2022-12-07T07:35:00Z</dcterms:created>
  <dcterms:modified xsi:type="dcterms:W3CDTF">2022-12-13T06:10:00Z</dcterms:modified>
</cp:coreProperties>
</file>