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BB2DD5" w:rsidTr="00153B70">
        <w:tc>
          <w:tcPr>
            <w:tcW w:w="6629" w:type="dxa"/>
            <w:hideMark/>
          </w:tcPr>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ROMÂNIA</w:t>
            </w:r>
          </w:p>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JUDEŢUL TIMIŞ</w:t>
            </w:r>
          </w:p>
          <w:p w:rsidR="00BB2DD5" w:rsidRDefault="00BB2DD5" w:rsidP="00153B70">
            <w:pPr>
              <w:pStyle w:val="Header"/>
              <w:spacing w:line="276" w:lineRule="auto"/>
              <w:rPr>
                <w:rFonts w:asciiTheme="majorHAnsi" w:hAnsiTheme="majorHAnsi"/>
                <w:sz w:val="23"/>
                <w:szCs w:val="23"/>
              </w:rPr>
            </w:pPr>
            <w:r>
              <w:rPr>
                <w:rFonts w:asciiTheme="majorHAnsi" w:hAnsiTheme="majorHAnsi"/>
                <w:sz w:val="23"/>
                <w:szCs w:val="23"/>
              </w:rPr>
              <w:t>MUNICIPIUL TIMIŞOARA</w:t>
            </w:r>
          </w:p>
          <w:p w:rsidR="00B32C56" w:rsidRDefault="00B32C56" w:rsidP="007607BC">
            <w:pPr>
              <w:pStyle w:val="Header"/>
              <w:spacing w:line="276" w:lineRule="auto"/>
              <w:rPr>
                <w:rFonts w:ascii="Times New Roman" w:hAnsi="Times New Roman" w:cs="Times New Roman"/>
                <w:color w:val="000000"/>
                <w:sz w:val="24"/>
                <w:szCs w:val="24"/>
              </w:rPr>
            </w:pPr>
            <w:r w:rsidRPr="00C82AD4">
              <w:rPr>
                <w:rFonts w:ascii="Times New Roman" w:hAnsi="Times New Roman" w:cs="Times New Roman"/>
                <w:color w:val="000000"/>
                <w:sz w:val="24"/>
                <w:szCs w:val="24"/>
              </w:rPr>
              <w:t>SC2022-288/06.01.2022</w:t>
            </w:r>
          </w:p>
          <w:p w:rsidR="00985FD8" w:rsidRDefault="00985FD8" w:rsidP="007607BC">
            <w:pPr>
              <w:pStyle w:val="Header"/>
              <w:spacing w:line="276" w:lineRule="auto"/>
              <w:rPr>
                <w:rFonts w:asciiTheme="majorHAnsi" w:hAnsiTheme="majorHAnsi"/>
                <w:sz w:val="23"/>
                <w:szCs w:val="23"/>
              </w:rPr>
            </w:pPr>
            <w:r w:rsidRPr="00985FD8">
              <w:rPr>
                <w:rFonts w:ascii="Times New Roman" w:hAnsi="Times New Roman" w:cs="Times New Roman"/>
                <w:color w:val="000000"/>
                <w:sz w:val="24"/>
                <w:szCs w:val="24"/>
                <w:highlight w:val="yellow"/>
              </w:rPr>
              <w:t>ANTET SERVICIUL PUBLIC</w:t>
            </w:r>
          </w:p>
        </w:tc>
        <w:tc>
          <w:tcPr>
            <w:tcW w:w="4502" w:type="dxa"/>
            <w:hideMark/>
          </w:tcPr>
          <w:p w:rsidR="00BB2DD5" w:rsidRDefault="00BB2DD5" w:rsidP="00153B70">
            <w:pPr>
              <w:pStyle w:val="Header"/>
              <w:spacing w:line="276" w:lineRule="auto"/>
              <w:rPr>
                <w:rFonts w:asciiTheme="majorHAnsi" w:hAnsiTheme="majorHAnsi"/>
                <w:b/>
                <w:noProof/>
              </w:rPr>
            </w:pPr>
            <w:r>
              <w:rPr>
                <w:noProof/>
                <w:lang w:val="en-US" w:eastAsia="en-US"/>
              </w:rPr>
              <w:drawing>
                <wp:anchor distT="0" distB="0" distL="114300" distR="114300" simplePos="0" relativeHeight="25166028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27710" cy="1104900"/>
                          </a:xfrm>
                          <a:prstGeom prst="rect">
                            <a:avLst/>
                          </a:prstGeom>
                          <a:noFill/>
                        </pic:spPr>
                      </pic:pic>
                    </a:graphicData>
                  </a:graphic>
                </wp:anchor>
              </w:drawing>
            </w:r>
          </w:p>
        </w:tc>
      </w:tr>
    </w:tbl>
    <w:p w:rsidR="00BB2DD5" w:rsidRDefault="000E06DA" w:rsidP="00BB2DD5">
      <w:pPr>
        <w:pStyle w:val="Header"/>
        <w:spacing w:line="276" w:lineRule="auto"/>
        <w:rPr>
          <w:rFonts w:asciiTheme="majorHAnsi" w:hAnsiTheme="majorHAnsi"/>
          <w:i/>
          <w:sz w:val="8"/>
          <w:szCs w:val="8"/>
        </w:rPr>
      </w:pPr>
      <w:r w:rsidRPr="000E06DA">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BB2DD5" w:rsidRDefault="00BB2DD5" w:rsidP="00BB2DD5">
      <w:pPr>
        <w:pStyle w:val="Header"/>
        <w:spacing w:line="276" w:lineRule="auto"/>
        <w:jc w:val="center"/>
        <w:rPr>
          <w:rFonts w:asciiTheme="majorHAnsi" w:hAnsiTheme="majorHAnsi"/>
          <w:i/>
          <w:sz w:val="16"/>
          <w:szCs w:val="16"/>
        </w:rPr>
      </w:pPr>
      <w:r>
        <w:rPr>
          <w:rFonts w:asciiTheme="majorHAnsi" w:hAnsiTheme="majorHAnsi"/>
          <w:i/>
          <w:sz w:val="16"/>
          <w:szCs w:val="16"/>
        </w:rPr>
        <w:t xml:space="preserve">B-dul  C.  D.  Loga  nr.  1,  300030  Timişoara,   Tel/Fax   +40 256  490635,   E-mail:   primariatm@primariatm.ro,   Internet:   </w:t>
      </w:r>
      <w:hyperlink r:id="rId7" w:history="1">
        <w:r>
          <w:rPr>
            <w:rStyle w:val="Hyperlink"/>
            <w:rFonts w:asciiTheme="majorHAnsi" w:hAnsiTheme="majorHAnsi"/>
            <w:i/>
            <w:color w:val="auto"/>
            <w:sz w:val="16"/>
            <w:szCs w:val="16"/>
            <w:u w:val="none"/>
          </w:rPr>
          <w:t>www.primariatm.ro</w:t>
        </w:r>
      </w:hyperlink>
    </w:p>
    <w:p w:rsidR="00BB2DD5" w:rsidRDefault="00BB2DD5" w:rsidP="00BB2DD5">
      <w:pPr>
        <w:rPr>
          <w:rFonts w:asciiTheme="majorHAnsi" w:hAnsiTheme="majorHAnsi"/>
          <w:sz w:val="23"/>
          <w:szCs w:val="23"/>
        </w:rPr>
      </w:pPr>
    </w:p>
    <w:p w:rsidR="00BB2DD5" w:rsidRDefault="00BB2DD5" w:rsidP="00BB2DD5">
      <w:pPr>
        <w:rPr>
          <w:rFonts w:asciiTheme="majorHAnsi" w:hAnsiTheme="majorHAnsi"/>
          <w:sz w:val="23"/>
          <w:szCs w:val="23"/>
        </w:rPr>
      </w:pPr>
    </w:p>
    <w:p w:rsidR="00BB2DD5" w:rsidRDefault="00BB2DD5" w:rsidP="008C732C">
      <w:pPr>
        <w:pStyle w:val="NoSpacing"/>
        <w:rPr>
          <w:rFonts w:ascii="Times New Roman" w:hAnsi="Times New Roman" w:cs="Times New Roman"/>
          <w:sz w:val="24"/>
          <w:szCs w:val="24"/>
        </w:rPr>
      </w:pPr>
    </w:p>
    <w:p w:rsidR="00BB2DD5" w:rsidRDefault="00BB2DD5" w:rsidP="008C732C">
      <w:pPr>
        <w:jc w:val="center"/>
        <w:rPr>
          <w:b/>
        </w:rPr>
      </w:pPr>
      <w:r>
        <w:rPr>
          <w:b/>
        </w:rPr>
        <w:t>RAPORT DE SPECIALITATE</w:t>
      </w:r>
    </w:p>
    <w:p w:rsidR="00BB2DD5" w:rsidRDefault="007607BC" w:rsidP="008C732C">
      <w:pPr>
        <w:jc w:val="center"/>
        <w:rPr>
          <w:b/>
        </w:rPr>
      </w:pPr>
      <w:r>
        <w:rPr>
          <w:b/>
          <w:bCs/>
          <w:color w:val="000000"/>
        </w:rPr>
        <w:t>p</w:t>
      </w:r>
      <w:r w:rsidRPr="0006485F">
        <w:rPr>
          <w:b/>
          <w:bCs/>
          <w:color w:val="000000"/>
        </w:rPr>
        <w:t xml:space="preserve">rivind </w:t>
      </w:r>
      <w:r>
        <w:rPr>
          <w:b/>
          <w:bCs/>
          <w:color w:val="000000"/>
        </w:rPr>
        <w:t xml:space="preserve">aplicarea tarifelor, pentru zona verde, aferente </w:t>
      </w:r>
      <w:r w:rsidRPr="0006485F">
        <w:rPr>
          <w:b/>
        </w:rPr>
        <w:t xml:space="preserve">sistemului de parcare a autovehiculelor în Municipiul Timisoara </w:t>
      </w:r>
      <w:r w:rsidRPr="0006485F">
        <w:rPr>
          <w:b/>
          <w:bCs/>
          <w:color w:val="000000"/>
        </w:rPr>
        <w:br/>
      </w:r>
    </w:p>
    <w:p w:rsidR="00BB2DD5" w:rsidRDefault="00BB2DD5" w:rsidP="008C732C">
      <w:pPr>
        <w:jc w:val="center"/>
        <w:rPr>
          <w:b/>
        </w:rPr>
      </w:pPr>
    </w:p>
    <w:p w:rsidR="00BB2DD5" w:rsidRPr="007607BC" w:rsidRDefault="00BB2DD5" w:rsidP="008C732C">
      <w:pPr>
        <w:ind w:firstLine="720"/>
        <w:jc w:val="both"/>
      </w:pPr>
      <w:r>
        <w:t xml:space="preserve">Având în vedere Referatul de aprobare a proiectului de hotărâre nr. </w:t>
      </w:r>
      <w:r w:rsidR="00072ECD" w:rsidRPr="00C82AD4">
        <w:rPr>
          <w:color w:val="000000"/>
        </w:rPr>
        <w:t>SC2022-288/06.01.2022</w:t>
      </w:r>
      <w:r w:rsidR="00072ECD">
        <w:rPr>
          <w:color w:val="000000"/>
        </w:rPr>
        <w:t xml:space="preserve"> </w:t>
      </w:r>
      <w:r>
        <w:t xml:space="preserve">al Primarului Municipiului Timișoara și Proiectul de hotărâre </w:t>
      </w:r>
      <w:r w:rsidR="007607BC" w:rsidRPr="007607BC">
        <w:rPr>
          <w:bCs/>
        </w:rPr>
        <w:t xml:space="preserve">privind aplicarea tarifelor, pentru zona verde, aferente </w:t>
      </w:r>
      <w:r w:rsidR="007607BC" w:rsidRPr="007607BC">
        <w:t>sistemului de parcare a autovehiculelor în Municipiul Timisoara</w:t>
      </w:r>
      <w:r w:rsidR="00A65FCB" w:rsidRPr="007607BC">
        <w:t>.</w:t>
      </w:r>
    </w:p>
    <w:p w:rsidR="003666F6" w:rsidRPr="007607BC" w:rsidRDefault="00BB2DD5" w:rsidP="008C732C">
      <w:pPr>
        <w:jc w:val="both"/>
      </w:pPr>
      <w:r w:rsidRPr="007607BC">
        <w:t xml:space="preserve">           Facem următoarele precizări:</w:t>
      </w:r>
      <w:r w:rsidR="003666F6" w:rsidRPr="007607BC">
        <w:t xml:space="preserve"> </w:t>
      </w:r>
    </w:p>
    <w:p w:rsidR="008C732C" w:rsidRPr="008C732C" w:rsidRDefault="003666F6" w:rsidP="000061CC">
      <w:pPr>
        <w:jc w:val="both"/>
      </w:pPr>
      <w:r>
        <w:tab/>
      </w:r>
      <w:r w:rsidR="008C732C" w:rsidRPr="008C732C">
        <w:t xml:space="preserve">Până în </w:t>
      </w:r>
      <w:r w:rsidR="002129A1">
        <w:t>luna decembrie 2021</w:t>
      </w:r>
      <w:r w:rsidR="00744AC3">
        <w:t>,</w:t>
      </w:r>
      <w:r w:rsidR="008C732C" w:rsidRPr="008C732C">
        <w:t xml:space="preserve"> activităţile de administrare, întreţinere</w:t>
      </w:r>
      <w:r w:rsidR="008C732C" w:rsidRPr="008C732C">
        <w:rPr>
          <w:spacing w:val="-20"/>
        </w:rPr>
        <w:t xml:space="preserve"> şi  </w:t>
      </w:r>
      <w:r w:rsidR="008C732C" w:rsidRPr="008C732C">
        <w:t>exploatare a</w:t>
      </w:r>
      <w:r w:rsidR="008C732C" w:rsidRPr="008C732C">
        <w:rPr>
          <w:w w:val="98"/>
        </w:rPr>
        <w:t xml:space="preserve"> </w:t>
      </w:r>
      <w:r w:rsidR="008C732C" w:rsidRPr="008C732C">
        <w:t>locurilor de parcare</w:t>
      </w:r>
      <w:r w:rsidR="008C732C" w:rsidRPr="008C732C">
        <w:rPr>
          <w:spacing w:val="25"/>
        </w:rPr>
        <w:t xml:space="preserve"> </w:t>
      </w:r>
      <w:r w:rsidR="008C732C" w:rsidRPr="008C732C">
        <w:t>şi staţionare din Municipiul Timişoara au fost concesionate către Societatea Drumuri Municipale Timişoara SA.</w:t>
      </w:r>
    </w:p>
    <w:p w:rsidR="008C732C" w:rsidRPr="008C732C" w:rsidRDefault="008C732C" w:rsidP="008C732C">
      <w:pPr>
        <w:ind w:firstLine="720"/>
        <w:jc w:val="both"/>
        <w:rPr>
          <w:rStyle w:val="spctbdy"/>
          <w:rFonts w:ascii="Times New Roman" w:hAnsi="Times New Roman"/>
          <w:sz w:val="24"/>
          <w:szCs w:val="24"/>
        </w:rPr>
      </w:pPr>
      <w:r w:rsidRPr="008C732C">
        <w:rPr>
          <w:rStyle w:val="spctbdy"/>
          <w:rFonts w:ascii="Times New Roman" w:hAnsi="Times New Roman"/>
          <w:sz w:val="24"/>
          <w:szCs w:val="24"/>
        </w:rPr>
        <w:t xml:space="preserve">Având în vedere </w:t>
      </w:r>
      <w:r w:rsidRPr="00183A9C">
        <w:rPr>
          <w:rStyle w:val="spctbdy"/>
          <w:rFonts w:ascii="Times New Roman" w:hAnsi="Times New Roman"/>
          <w:color w:val="auto"/>
          <w:sz w:val="24"/>
          <w:szCs w:val="24"/>
        </w:rPr>
        <w:t xml:space="preserve">apariția </w:t>
      </w:r>
      <w:r w:rsidRPr="00183A9C">
        <w:rPr>
          <w:rStyle w:val="sden1"/>
          <w:rFonts w:ascii="Times New Roman" w:hAnsi="Times New Roman"/>
          <w:b w:val="0"/>
          <w:color w:val="auto"/>
          <w:sz w:val="24"/>
          <w:szCs w:val="24"/>
        </w:rPr>
        <w:t>O.G. nr. 71 din 29 august 2002</w:t>
      </w:r>
      <w:r w:rsidRPr="00183A9C">
        <w:rPr>
          <w:rStyle w:val="sden1"/>
          <w:rFonts w:ascii="Times New Roman" w:hAnsi="Times New Roman"/>
          <w:color w:val="auto"/>
          <w:sz w:val="24"/>
          <w:szCs w:val="24"/>
        </w:rPr>
        <w:t xml:space="preserve"> </w:t>
      </w:r>
      <w:r w:rsidRPr="00183A9C">
        <w:t>privind</w:t>
      </w:r>
      <w:r w:rsidRPr="008C732C">
        <w:t xml:space="preserve"> organizarea şi funcţionarea serviciilor publice de administrare a domeniului public şi privat de interes local</w:t>
      </w:r>
      <w:r w:rsidRPr="008C732C">
        <w:rPr>
          <w:rStyle w:val="spctbdy"/>
          <w:rFonts w:ascii="Times New Roman" w:hAnsi="Times New Roman"/>
          <w:sz w:val="24"/>
          <w:szCs w:val="24"/>
        </w:rPr>
        <w:t>, act normativ cu caracter special în domeniul serviciilor publice de administrare a domeniului public și privat de interes local, printre care se regăsește și activitatea sus-menționată, s</w:t>
      </w:r>
      <w:r w:rsidR="00744AC3">
        <w:rPr>
          <w:rStyle w:val="spctbdy"/>
          <w:rFonts w:ascii="Times New Roman" w:hAnsi="Times New Roman"/>
          <w:sz w:val="24"/>
          <w:szCs w:val="24"/>
        </w:rPr>
        <w:t>-a  impus</w:t>
      </w:r>
      <w:r w:rsidRPr="008C732C">
        <w:rPr>
          <w:rStyle w:val="spctbdy"/>
          <w:rFonts w:ascii="Times New Roman" w:hAnsi="Times New Roman"/>
          <w:sz w:val="24"/>
          <w:szCs w:val="24"/>
        </w:rPr>
        <w:t xml:space="preserve"> stabilirea modalității de organizare și desfășurare a activității de parcare pe raza municipiului Timișoara, conform acestor prevederi legale.</w:t>
      </w:r>
    </w:p>
    <w:p w:rsidR="008C732C" w:rsidRPr="00F91A05" w:rsidRDefault="008C732C" w:rsidP="008C732C">
      <w:pPr>
        <w:ind w:firstLine="720"/>
        <w:jc w:val="both"/>
        <w:rPr>
          <w:spacing w:val="6"/>
        </w:rPr>
      </w:pPr>
      <w:r w:rsidRPr="00F91A05">
        <w:t>Înfiinţarea,</w:t>
      </w:r>
      <w:r w:rsidRPr="00F91A05">
        <w:rPr>
          <w:spacing w:val="41"/>
        </w:rPr>
        <w:t xml:space="preserve"> </w:t>
      </w:r>
      <w:r w:rsidRPr="00F91A05">
        <w:t>extinderea,</w:t>
      </w:r>
      <w:r w:rsidRPr="00F91A05">
        <w:rPr>
          <w:spacing w:val="41"/>
        </w:rPr>
        <w:t xml:space="preserve"> </w:t>
      </w:r>
      <w:r w:rsidRPr="00F91A05">
        <w:t>desfiinţarea,</w:t>
      </w:r>
      <w:r w:rsidRPr="00F91A05">
        <w:rPr>
          <w:spacing w:val="38"/>
        </w:rPr>
        <w:t xml:space="preserve"> </w:t>
      </w:r>
      <w:r w:rsidRPr="00F91A05">
        <w:t>organizarea</w:t>
      </w:r>
      <w:r w:rsidRPr="00F91A05">
        <w:rPr>
          <w:spacing w:val="35"/>
        </w:rPr>
        <w:t xml:space="preserve"> </w:t>
      </w:r>
      <w:r w:rsidRPr="00F91A05">
        <w:t>şi</w:t>
      </w:r>
      <w:r w:rsidRPr="00F91A05">
        <w:rPr>
          <w:spacing w:val="19"/>
        </w:rPr>
        <w:t xml:space="preserve"> </w:t>
      </w:r>
      <w:r w:rsidRPr="00F91A05">
        <w:t>coordonarea</w:t>
      </w:r>
      <w:r w:rsidRPr="00F91A05">
        <w:rPr>
          <w:spacing w:val="41"/>
        </w:rPr>
        <w:t xml:space="preserve"> </w:t>
      </w:r>
      <w:r w:rsidRPr="00F91A05">
        <w:t>locurilor de parcare şi staţionare,</w:t>
      </w:r>
      <w:r w:rsidRPr="00F91A05">
        <w:rPr>
          <w:spacing w:val="42"/>
        </w:rPr>
        <w:t xml:space="preserve"> </w:t>
      </w:r>
      <w:r w:rsidRPr="00F91A05">
        <w:t>proprietate</w:t>
      </w:r>
      <w:r w:rsidRPr="00F91A05">
        <w:rPr>
          <w:spacing w:val="34"/>
        </w:rPr>
        <w:t xml:space="preserve"> </w:t>
      </w:r>
      <w:r w:rsidRPr="00F91A05">
        <w:t>publică</w:t>
      </w:r>
      <w:r w:rsidRPr="00F91A05">
        <w:rPr>
          <w:spacing w:val="31"/>
        </w:rPr>
        <w:t xml:space="preserve"> </w:t>
      </w:r>
      <w:r w:rsidRPr="00F91A05">
        <w:t>a</w:t>
      </w:r>
      <w:r w:rsidRPr="00F91A05">
        <w:rPr>
          <w:spacing w:val="25"/>
        </w:rPr>
        <w:t xml:space="preserve"> </w:t>
      </w:r>
      <w:r w:rsidRPr="00F91A05">
        <w:t>Municipiului</w:t>
      </w:r>
      <w:r w:rsidRPr="00F91A05">
        <w:rPr>
          <w:spacing w:val="40"/>
        </w:rPr>
        <w:t xml:space="preserve"> </w:t>
      </w:r>
      <w:r w:rsidRPr="00F91A05">
        <w:t>Timişoara</w:t>
      </w:r>
      <w:r w:rsidRPr="00F91A05">
        <w:rPr>
          <w:spacing w:val="26"/>
        </w:rPr>
        <w:t xml:space="preserve"> </w:t>
      </w:r>
      <w:r w:rsidRPr="00F91A05">
        <w:t>se</w:t>
      </w:r>
      <w:r w:rsidRPr="00F91A05">
        <w:rPr>
          <w:spacing w:val="22"/>
        </w:rPr>
        <w:t xml:space="preserve"> </w:t>
      </w:r>
      <w:r w:rsidRPr="00F91A05">
        <w:t>face</w:t>
      </w:r>
      <w:r w:rsidRPr="00F91A05">
        <w:rPr>
          <w:spacing w:val="25"/>
        </w:rPr>
        <w:t xml:space="preserve"> </w:t>
      </w:r>
      <w:r w:rsidRPr="00F91A05">
        <w:t>în</w:t>
      </w:r>
      <w:r w:rsidRPr="00F91A05">
        <w:rPr>
          <w:spacing w:val="37"/>
        </w:rPr>
        <w:t xml:space="preserve"> </w:t>
      </w:r>
      <w:r w:rsidRPr="00F91A05">
        <w:t>baza</w:t>
      </w:r>
      <w:r w:rsidRPr="00F91A05">
        <w:rPr>
          <w:spacing w:val="37"/>
        </w:rPr>
        <w:t xml:space="preserve"> </w:t>
      </w:r>
      <w:r w:rsidRPr="00F91A05">
        <w:t>unei</w:t>
      </w:r>
      <w:r w:rsidRPr="00F91A05">
        <w:rPr>
          <w:spacing w:val="54"/>
        </w:rPr>
        <w:t xml:space="preserve"> </w:t>
      </w:r>
      <w:r w:rsidRPr="00F91A05">
        <w:t>Hotărâri</w:t>
      </w:r>
      <w:r w:rsidRPr="00F91A05">
        <w:rPr>
          <w:spacing w:val="30"/>
        </w:rPr>
        <w:t xml:space="preserve"> </w:t>
      </w:r>
      <w:r w:rsidRPr="00F91A05">
        <w:t>a</w:t>
      </w:r>
      <w:r w:rsidRPr="00F91A05">
        <w:rPr>
          <w:w w:val="95"/>
        </w:rPr>
        <w:t xml:space="preserve"> </w:t>
      </w:r>
      <w:r w:rsidRPr="00F91A05">
        <w:t>Consiliului</w:t>
      </w:r>
      <w:r w:rsidRPr="00F91A05">
        <w:rPr>
          <w:spacing w:val="23"/>
        </w:rPr>
        <w:t xml:space="preserve"> </w:t>
      </w:r>
      <w:r w:rsidRPr="00F91A05">
        <w:t>Local</w:t>
      </w:r>
      <w:r w:rsidRPr="00F91A05">
        <w:rPr>
          <w:spacing w:val="9"/>
        </w:rPr>
        <w:t xml:space="preserve"> </w:t>
      </w:r>
      <w:r w:rsidRPr="00F91A05">
        <w:t>al</w:t>
      </w:r>
      <w:r w:rsidRPr="00F91A05">
        <w:rPr>
          <w:spacing w:val="17"/>
        </w:rPr>
        <w:t xml:space="preserve"> </w:t>
      </w:r>
      <w:r w:rsidRPr="00F91A05">
        <w:t>Municipiului</w:t>
      </w:r>
      <w:r w:rsidRPr="00F91A05">
        <w:rPr>
          <w:spacing w:val="21"/>
        </w:rPr>
        <w:t xml:space="preserve"> </w:t>
      </w:r>
      <w:r w:rsidRPr="00F91A05">
        <w:t>Timişoara.</w:t>
      </w:r>
      <w:r w:rsidRPr="00F91A05">
        <w:rPr>
          <w:spacing w:val="6"/>
        </w:rPr>
        <w:t xml:space="preserve"> </w:t>
      </w:r>
    </w:p>
    <w:p w:rsidR="00F91A05" w:rsidRPr="00F91A05" w:rsidRDefault="00F91A05" w:rsidP="00F91A05">
      <w:pPr>
        <w:ind w:firstLine="720"/>
        <w:jc w:val="both"/>
        <w:rPr>
          <w:rStyle w:val="spctbdy"/>
          <w:rFonts w:ascii="Times New Roman" w:hAnsi="Times New Roman"/>
          <w:sz w:val="24"/>
          <w:szCs w:val="24"/>
        </w:rPr>
      </w:pPr>
      <w:r w:rsidRPr="00F91A05">
        <w:rPr>
          <w:rStyle w:val="spctbdy"/>
          <w:rFonts w:ascii="Times New Roman" w:hAnsi="Times New Roman"/>
          <w:sz w:val="24"/>
          <w:szCs w:val="24"/>
        </w:rPr>
        <w:t xml:space="preserve">Prin HCLMT nr. 450/07.12.2021 s-a înfiinţat </w:t>
      </w:r>
      <w:r w:rsidRPr="00F91A05">
        <w:rPr>
          <w:rFonts w:eastAsiaTheme="minorHAnsi"/>
          <w:color w:val="000000"/>
          <w:lang w:eastAsia="en-US"/>
        </w:rPr>
        <w:t>Serviciul Public de Interes Local pentru Administrarea Parcărilor Publice din Municipiul Timișoara - TIMPARK, ca entitate cu personalitate juridică, care funcționează sub autoritatea Consiliului Local al Municipiului Timișoara, cu sediul  in Timișoara, Splaiul Nicolae Titulescu nr. 10, Județul Timiș.</w:t>
      </w:r>
    </w:p>
    <w:p w:rsidR="00183A9C" w:rsidRPr="00513024" w:rsidRDefault="00183A9C" w:rsidP="00170B9C">
      <w:pPr>
        <w:jc w:val="both"/>
      </w:pPr>
      <w:r w:rsidRPr="00513024">
        <w:tab/>
        <w:t xml:space="preserve">Eficiența serviciului public de administrare, întreţinere şi exploatare a locurilor de parcare şi staţionare din municipiul Timişoara influențează în mod direct mediul economic și social al unității administrativ-teritoriale. Calitatea acestuia ca și serviciu comunitar poate determina în mod cert creșterea nivelului de siguranță la nivel local, influentand direct calitatea vieţii în oras, prin asigurarea dreptului la mobilitate al fiecărui cetaţean. La nivelul întregii țări s-a manifestat în ultimii ani o preocupare deosebită în privința optimizării acestui serviciu, fiind verificate constant opțiunile autorităților locale pentru implementarea unor sisteme complexe de gestiune a serviciului comunitar de utilitate publica pentru administrarea, întretinerea şi exploatarea locurilor de parcare şi staţionare din Municipiul Timişoara. </w:t>
      </w:r>
    </w:p>
    <w:p w:rsidR="003666F6" w:rsidRPr="004A1D7F" w:rsidRDefault="003666F6" w:rsidP="008C732C">
      <w:pPr>
        <w:ind w:firstLine="720"/>
        <w:jc w:val="both"/>
        <w:rPr>
          <w:lang w:eastAsia="en-US"/>
        </w:rPr>
      </w:pPr>
      <w:r w:rsidRPr="004A1D7F">
        <w:rPr>
          <w:lang w:eastAsia="en-US"/>
        </w:rPr>
        <w:t xml:space="preserve">În conformitate cu prevederile OG nr.71/2002 privind organizarea şi funcţionarea serviciilor publice de administrare a domeniului public şi privat de interes local, autorităţile administraţiei publice locale au iniţiativa şi adoptă hotărâri referitoare la dezvoltarea şi modernizarea infrastructurii edilitar-urbane existente. De asemenea, în baza </w:t>
      </w:r>
      <w:r>
        <w:rPr>
          <w:lang w:eastAsia="en-US"/>
        </w:rPr>
        <w:t xml:space="preserve">art. 128 alin. (1) din </w:t>
      </w:r>
      <w:r w:rsidRPr="004A1D7F">
        <w:rPr>
          <w:lang w:eastAsia="en-US"/>
        </w:rPr>
        <w:t>OUG nr.195/2002 privind circulaţia pe drumurile publice, autorităţile administraţiei publice locale au obligaţia de a asigura desfăşurarea fluentă şi în siguranţă a circulaţiei rutiere şi au atribuţii în stabilirea reglementărilor referitoare la regimul de acces şi circulaţie, staţionare şi parcare pentru diferite categorii de vehicule.</w:t>
      </w:r>
    </w:p>
    <w:p w:rsidR="00BB45E9" w:rsidRPr="00D421A0" w:rsidRDefault="00170B9C" w:rsidP="00BB45E9">
      <w:pPr>
        <w:ind w:firstLine="720"/>
        <w:jc w:val="both"/>
        <w:rPr>
          <w:color w:val="000000"/>
        </w:rPr>
      </w:pPr>
      <w:r w:rsidRPr="00F91A05">
        <w:rPr>
          <w:bCs/>
          <w:color w:val="000000"/>
          <w:lang w:eastAsia="en-US"/>
        </w:rPr>
        <w:lastRenderedPageBreak/>
        <w:t xml:space="preserve">Regulamentul urmează a fi pus în aplicare de </w:t>
      </w:r>
      <w:r w:rsidR="00744AC3">
        <w:rPr>
          <w:bCs/>
          <w:color w:val="000000"/>
          <w:lang w:eastAsia="en-US"/>
        </w:rPr>
        <w:t xml:space="preserve">către </w:t>
      </w:r>
      <w:r w:rsidRPr="00F91A05">
        <w:rPr>
          <w:bCs/>
          <w:color w:val="000000"/>
          <w:lang w:eastAsia="en-US"/>
        </w:rPr>
        <w:t>noul serviciu public înfiinţat, respectiv Serviciul Public de Interes Local pentru Administrarea Parcărilor Publice din Municipiul Timișoara – TIMPARK. Până la preluarea în totalitate a</w:t>
      </w:r>
      <w:r w:rsidR="00744AC3">
        <w:rPr>
          <w:bCs/>
          <w:color w:val="000000"/>
          <w:lang w:eastAsia="en-US"/>
        </w:rPr>
        <w:t xml:space="preserve"> atribuţiilor, </w:t>
      </w:r>
      <w:r w:rsidRPr="00F91A05">
        <w:rPr>
          <w:bCs/>
          <w:color w:val="000000"/>
          <w:lang w:eastAsia="en-US"/>
        </w:rPr>
        <w:t xml:space="preserve"> care </w:t>
      </w:r>
      <w:r w:rsidR="00744AC3">
        <w:rPr>
          <w:bCs/>
          <w:color w:val="000000"/>
          <w:lang w:eastAsia="en-US"/>
        </w:rPr>
        <w:t xml:space="preserve">presupune un proces </w:t>
      </w:r>
      <w:r w:rsidRPr="00F91A05">
        <w:rPr>
          <w:bCs/>
          <w:color w:val="000000"/>
          <w:lang w:eastAsia="en-US"/>
        </w:rPr>
        <w:t xml:space="preserve"> de durată (transferul angajatilor de la Societatea Drumuri Municipale Timişoara SA la nou serviciu public înfiinţat; aplicarea noilor indicatoare de semnaliza</w:t>
      </w:r>
      <w:r w:rsidR="00BB45E9">
        <w:rPr>
          <w:bCs/>
          <w:color w:val="000000"/>
          <w:lang w:eastAsia="en-US"/>
        </w:rPr>
        <w:t>re si tabliţe adiţionale, etc.)</w:t>
      </w:r>
      <w:r w:rsidR="00744AC3">
        <w:rPr>
          <w:color w:val="000000"/>
        </w:rPr>
        <w:t xml:space="preserve">, </w:t>
      </w:r>
      <w:r w:rsidR="00BB45E9">
        <w:rPr>
          <w:color w:val="000000"/>
        </w:rPr>
        <w:t>se impune adoparea unor reglementări în ceea ce priveşte aplicarea unor tarife. Ca atare</w:t>
      </w:r>
      <w:r w:rsidR="00744AC3">
        <w:rPr>
          <w:color w:val="000000"/>
        </w:rPr>
        <w:t>,</w:t>
      </w:r>
      <w:r w:rsidR="00BB45E9">
        <w:rPr>
          <w:color w:val="000000"/>
        </w:rPr>
        <w:t xml:space="preserve"> de la data adoptării hotărârii și până în data de 31.03.2022, tarifele aplicate pentru parcarea autovehiculelor în Municipiul Timișoara în zona zero (verde) de aplicare a Regulamentului </w:t>
      </w:r>
      <w:r w:rsidR="00BB45E9" w:rsidRPr="00FD1BA6">
        <w:rPr>
          <w:color w:val="000000"/>
        </w:rPr>
        <w:t>de functionare a sistemului de parcare a autovehiculelor în Municipiul Timisoara</w:t>
      </w:r>
      <w:r w:rsidR="00BB45E9">
        <w:rPr>
          <w:color w:val="000000"/>
        </w:rPr>
        <w:t xml:space="preserve">, </w:t>
      </w:r>
      <w:r w:rsidR="00744AC3">
        <w:rPr>
          <w:color w:val="000000"/>
        </w:rPr>
        <w:t>se păstrează la nivelul stabilit</w:t>
      </w:r>
      <w:r w:rsidR="00744AC3" w:rsidRPr="00744AC3">
        <w:rPr>
          <w:color w:val="000000"/>
        </w:rPr>
        <w:t xml:space="preserve"> </w:t>
      </w:r>
      <w:r w:rsidR="00744AC3">
        <w:rPr>
          <w:color w:val="000000"/>
        </w:rPr>
        <w:t>prin H.C.L. Timișoara nr. 463</w:t>
      </w:r>
      <w:r w:rsidR="00744AC3" w:rsidRPr="00FD1BA6">
        <w:rPr>
          <w:color w:val="000000"/>
        </w:rPr>
        <w:t>/</w:t>
      </w:r>
      <w:r w:rsidR="00744AC3">
        <w:rPr>
          <w:color w:val="000000"/>
        </w:rPr>
        <w:t>27</w:t>
      </w:r>
      <w:r w:rsidR="00744AC3" w:rsidRPr="00FD1BA6">
        <w:rPr>
          <w:color w:val="000000"/>
        </w:rPr>
        <w:t>.</w:t>
      </w:r>
      <w:r w:rsidR="00744AC3">
        <w:rPr>
          <w:color w:val="000000"/>
        </w:rPr>
        <w:t>11</w:t>
      </w:r>
      <w:r w:rsidR="00744AC3" w:rsidRPr="00FD1BA6">
        <w:rPr>
          <w:color w:val="000000"/>
        </w:rPr>
        <w:t>.20</w:t>
      </w:r>
      <w:r w:rsidR="00744AC3">
        <w:rPr>
          <w:color w:val="000000"/>
        </w:rPr>
        <w:t>20</w:t>
      </w:r>
      <w:r w:rsidR="00744AC3" w:rsidRPr="00FD1BA6">
        <w:rPr>
          <w:color w:val="000000"/>
        </w:rPr>
        <w:t xml:space="preserve"> </w:t>
      </w:r>
      <w:r w:rsidR="00744AC3">
        <w:rPr>
          <w:color w:val="000000"/>
        </w:rPr>
        <w:t xml:space="preserve">- </w:t>
      </w:r>
      <w:r w:rsidR="00744AC3" w:rsidRPr="00FD1BA6">
        <w:rPr>
          <w:color w:val="000000"/>
        </w:rPr>
        <w:t xml:space="preserve">privind </w:t>
      </w:r>
      <w:r w:rsidR="00744AC3">
        <w:rPr>
          <w:color w:val="000000"/>
        </w:rPr>
        <w:t>tarifele aplicate pentru parcare pe raza municipiului Timișoara, respectiv</w:t>
      </w:r>
      <w:r w:rsidR="00BB45E9">
        <w:rPr>
          <w:color w:val="000000"/>
        </w:rPr>
        <w:t xml:space="preserve">: 3 lei/ora de staționare, inclusiv TVA - prin modalitățile de plată prin </w:t>
      </w:r>
      <w:r w:rsidR="00BB45E9">
        <w:rPr>
          <w:i/>
          <w:color w:val="000000"/>
        </w:rPr>
        <w:t xml:space="preserve">vouchere </w:t>
      </w:r>
      <w:r w:rsidR="00BB45E9">
        <w:rPr>
          <w:color w:val="000000"/>
        </w:rPr>
        <w:t xml:space="preserve">și </w:t>
      </w:r>
      <w:r w:rsidR="00BB45E9" w:rsidRPr="00D421A0">
        <w:rPr>
          <w:i/>
          <w:color w:val="000000"/>
        </w:rPr>
        <w:t>card bancar</w:t>
      </w:r>
      <w:r w:rsidR="00BB45E9" w:rsidRPr="00A80500">
        <w:rPr>
          <w:color w:val="000000"/>
        </w:rPr>
        <w:t>;</w:t>
      </w:r>
      <w:r w:rsidR="00BB45E9">
        <w:rPr>
          <w:color w:val="000000"/>
        </w:rPr>
        <w:t xml:space="preserve"> respectiv 0,75 euro/ora de staționare, exclusiv TVA - prin modalitatea de plată </w:t>
      </w:r>
      <w:r w:rsidR="00BB45E9" w:rsidRPr="00D421A0">
        <w:rPr>
          <w:i/>
          <w:color w:val="000000"/>
        </w:rPr>
        <w:t>SMS</w:t>
      </w:r>
      <w:r w:rsidR="00BB45E9">
        <w:rPr>
          <w:color w:val="000000"/>
        </w:rPr>
        <w:t>.</w:t>
      </w:r>
    </w:p>
    <w:p w:rsidR="001D253F" w:rsidRDefault="001D253F" w:rsidP="008C732C">
      <w:pPr>
        <w:tabs>
          <w:tab w:val="decimal" w:pos="360"/>
          <w:tab w:val="decimal" w:pos="432"/>
        </w:tabs>
        <w:jc w:val="both"/>
      </w:pPr>
      <w:r>
        <w:rPr>
          <w:color w:val="000000"/>
          <w:spacing w:val="-5"/>
        </w:rPr>
        <w:t xml:space="preserve">           </w:t>
      </w:r>
      <w:r>
        <w:t xml:space="preserve">Având în vedere prevederile legale expuse în prezentul raport, apreciez că proiectul de hotărâre </w:t>
      </w:r>
      <w:r w:rsidR="00AB429E">
        <w:rPr>
          <w:bCs/>
          <w:color w:val="000000"/>
        </w:rPr>
        <w:t>privind aplicarea tarifelor</w:t>
      </w:r>
      <w:r w:rsidR="00170B9C" w:rsidRPr="00170B9C">
        <w:rPr>
          <w:bCs/>
          <w:color w:val="000000"/>
        </w:rPr>
        <w:t xml:space="preserve">, pentru zona verde, aferente </w:t>
      </w:r>
      <w:r w:rsidR="00170B9C" w:rsidRPr="00170B9C">
        <w:t>sistemului de parcare a autovehiculelor în Municipiul Timisoara</w:t>
      </w:r>
      <w:r w:rsidRPr="00823531">
        <w:t xml:space="preserve"> </w:t>
      </w:r>
      <w:r>
        <w:t xml:space="preserve">îndeplinește condițiile pentru a fi supus dezbaterii și aprobării plenului consiliului local. </w:t>
      </w:r>
    </w:p>
    <w:p w:rsidR="001D253F" w:rsidRDefault="001D253F" w:rsidP="001D253F">
      <w:pPr>
        <w:jc w:val="both"/>
      </w:pPr>
    </w:p>
    <w:p w:rsidR="00137AAE" w:rsidRDefault="00137AAE" w:rsidP="00137AAE">
      <w:pPr>
        <w:rPr>
          <w:b/>
          <w:bCs/>
          <w:color w:val="000000"/>
          <w:lang w:val="pt-BR" w:eastAsia="en-US"/>
        </w:rPr>
      </w:pPr>
    </w:p>
    <w:p w:rsidR="00137AAE" w:rsidRDefault="00137AAE" w:rsidP="00137AAE">
      <w:pPr>
        <w:rPr>
          <w:b/>
          <w:bCs/>
          <w:color w:val="000000"/>
          <w:lang w:val="pt-BR" w:eastAsia="en-US"/>
        </w:rPr>
      </w:pPr>
    </w:p>
    <w:p w:rsidR="00CB6AA2" w:rsidRPr="00CB6AA2" w:rsidRDefault="00170B9C" w:rsidP="00137AAE">
      <w:pPr>
        <w:rPr>
          <w:b/>
        </w:rPr>
      </w:pPr>
      <w:r>
        <w:rPr>
          <w:b/>
        </w:rPr>
        <w:t>DIRECTOR S.P.I.L.A.P.P.M.T.</w:t>
      </w:r>
      <w:r w:rsidR="00CB6AA2" w:rsidRPr="00CB6AA2">
        <w:rPr>
          <w:b/>
          <w:bCs/>
          <w:color w:val="000000"/>
          <w:lang w:val="pt-BR" w:eastAsia="en-US"/>
        </w:rPr>
        <w:t xml:space="preserve">,  </w:t>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rPr>
        <w:t>DIRECTOR ADJUNCT</w:t>
      </w:r>
      <w:r w:rsidR="00137AAE" w:rsidRPr="00CB6AA2">
        <w:rPr>
          <w:b/>
        </w:rPr>
        <w:t xml:space="preserve">,   </w:t>
      </w:r>
      <w:r w:rsidR="00CB6AA2" w:rsidRPr="00CB6AA2">
        <w:rPr>
          <w:b/>
          <w:bCs/>
          <w:color w:val="000000"/>
          <w:lang w:val="pt-BR" w:eastAsia="en-US"/>
        </w:rPr>
        <w:t xml:space="preserve">      </w:t>
      </w:r>
      <w:r w:rsidR="00CB6AA2" w:rsidRPr="00CB6AA2">
        <w:rPr>
          <w:b/>
          <w:color w:val="000000"/>
        </w:rPr>
        <w:t xml:space="preserve">                                            </w:t>
      </w:r>
    </w:p>
    <w:p w:rsidR="005C7C86" w:rsidRDefault="00170B9C" w:rsidP="00CB6AA2">
      <w:pPr>
        <w:jc w:val="both"/>
        <w:rPr>
          <w:b/>
          <w:bCs/>
          <w:color w:val="000000"/>
          <w:lang w:val="it-IT" w:eastAsia="en-US"/>
        </w:rPr>
      </w:pPr>
      <w:r w:rsidRPr="00170B9C">
        <w:rPr>
          <w:b/>
          <w:bCs/>
          <w:color w:val="000000"/>
          <w:lang w:eastAsia="en-US"/>
        </w:rPr>
        <w:t>IONEL URSU</w:t>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bCs/>
          <w:color w:val="000000"/>
          <w:lang w:eastAsia="en-US"/>
        </w:rPr>
        <w:tab/>
      </w:r>
      <w:r w:rsidR="00137AAE">
        <w:rPr>
          <w:b/>
        </w:rPr>
        <w:t>.........................................</w:t>
      </w:r>
    </w:p>
    <w:p w:rsidR="005C7C86" w:rsidRDefault="005C7C86" w:rsidP="00CB6AA2">
      <w:pPr>
        <w:jc w:val="both"/>
        <w:rPr>
          <w:b/>
          <w:bCs/>
          <w:color w:val="000000"/>
          <w:lang w:val="it-IT" w:eastAsia="en-US"/>
        </w:rPr>
      </w:pPr>
    </w:p>
    <w:p w:rsidR="005C7C86" w:rsidRDefault="005C7C86" w:rsidP="00CB6AA2">
      <w:pPr>
        <w:jc w:val="both"/>
        <w:rPr>
          <w:b/>
          <w:bCs/>
          <w:color w:val="000000"/>
          <w:lang w:val="it-IT" w:eastAsia="en-US"/>
        </w:rPr>
      </w:pPr>
    </w:p>
    <w:p w:rsidR="005C7C86" w:rsidRPr="00CB6AA2" w:rsidRDefault="005C7C86" w:rsidP="005C7C86">
      <w:pPr>
        <w:ind w:firstLine="708"/>
        <w:rPr>
          <w:b/>
        </w:rPr>
      </w:pP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sidRPr="00CB6AA2">
        <w:rPr>
          <w:b/>
          <w:bCs/>
          <w:color w:val="000000"/>
          <w:lang w:val="pt-BR" w:eastAsia="en-US"/>
        </w:rPr>
        <w:tab/>
      </w:r>
      <w:r w:rsidR="00170B9C">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37AAE">
        <w:rPr>
          <w:b/>
          <w:bCs/>
          <w:color w:val="000000"/>
          <w:lang w:val="pt-BR" w:eastAsia="en-US"/>
        </w:rPr>
        <w:tab/>
      </w:r>
      <w:r w:rsidR="00170B9C">
        <w:rPr>
          <w:b/>
          <w:bCs/>
          <w:color w:val="000000"/>
          <w:lang w:val="pt-BR" w:eastAsia="en-US"/>
        </w:rPr>
        <w:t>ÎNTOCMIT</w:t>
      </w:r>
      <w:r w:rsidRPr="00CB6AA2">
        <w:rPr>
          <w:b/>
          <w:bCs/>
          <w:color w:val="000000"/>
          <w:lang w:val="pt-BR" w:eastAsia="en-US"/>
        </w:rPr>
        <w:t xml:space="preserve">,        </w:t>
      </w:r>
      <w:r w:rsidRPr="00CB6AA2">
        <w:rPr>
          <w:b/>
          <w:color w:val="000000"/>
        </w:rPr>
        <w:t xml:space="preserve">                                            </w:t>
      </w:r>
    </w:p>
    <w:p w:rsidR="00DB4292" w:rsidRPr="00CB6AA2" w:rsidRDefault="005C7C86" w:rsidP="005C7C86">
      <w:pPr>
        <w:jc w:val="both"/>
      </w:pPr>
      <w:r w:rsidRPr="00CB6AA2">
        <w:rPr>
          <w:b/>
        </w:rPr>
        <w:tab/>
        <w:t xml:space="preserve">    </w:t>
      </w:r>
      <w:r w:rsidRPr="00CB6AA2">
        <w:rPr>
          <w:b/>
          <w:bCs/>
          <w:color w:val="000000"/>
          <w:lang w:val="it-IT" w:eastAsia="en-US"/>
        </w:rPr>
        <w:t xml:space="preserve"> </w:t>
      </w:r>
      <w:r w:rsidRPr="00CB6AA2">
        <w:rPr>
          <w:b/>
          <w:bCs/>
          <w:color w:val="000000"/>
          <w:lang w:val="it-IT" w:eastAsia="en-US"/>
        </w:rPr>
        <w:tab/>
      </w:r>
      <w:r w:rsidRPr="00CB6AA2">
        <w:rPr>
          <w:b/>
          <w:bCs/>
          <w:color w:val="000000"/>
          <w:lang w:val="it-IT" w:eastAsia="en-US"/>
        </w:rPr>
        <w:tab/>
      </w:r>
      <w:r w:rsidRPr="00CB6AA2">
        <w:rPr>
          <w:b/>
          <w:bCs/>
          <w:color w:val="000000"/>
          <w:lang w:val="it-IT" w:eastAsia="en-US"/>
        </w:rPr>
        <w:tab/>
      </w:r>
      <w:r w:rsidRPr="00CB6AA2">
        <w:rPr>
          <w:b/>
          <w:bCs/>
          <w:color w:val="000000"/>
          <w:lang w:val="it-IT" w:eastAsia="en-US"/>
        </w:rPr>
        <w:tab/>
      </w:r>
      <w:r w:rsidR="00137AAE">
        <w:rPr>
          <w:b/>
          <w:bCs/>
          <w:color w:val="000000"/>
          <w:lang w:val="it-IT" w:eastAsia="en-US"/>
        </w:rPr>
        <w:tab/>
      </w:r>
      <w:r w:rsidR="00137AAE">
        <w:rPr>
          <w:b/>
          <w:bCs/>
          <w:color w:val="000000"/>
          <w:lang w:val="it-IT" w:eastAsia="en-US"/>
        </w:rPr>
        <w:tab/>
      </w:r>
      <w:r w:rsidR="00137AAE">
        <w:rPr>
          <w:b/>
          <w:bCs/>
          <w:color w:val="000000"/>
          <w:lang w:val="it-IT" w:eastAsia="en-US"/>
        </w:rPr>
        <w:tab/>
      </w:r>
      <w:r w:rsidR="00137AAE">
        <w:rPr>
          <w:b/>
          <w:bCs/>
          <w:color w:val="000000"/>
          <w:lang w:val="it-IT" w:eastAsia="en-US"/>
        </w:rPr>
        <w:tab/>
      </w:r>
      <w:r w:rsidR="00137AAE">
        <w:rPr>
          <w:b/>
          <w:bCs/>
          <w:color w:val="000000"/>
          <w:lang w:val="it-IT" w:eastAsia="en-US"/>
        </w:rPr>
        <w:tab/>
      </w:r>
      <w:r w:rsidR="00170B9C">
        <w:rPr>
          <w:b/>
          <w:bCs/>
          <w:color w:val="000000"/>
          <w:lang w:val="it-IT" w:eastAsia="en-US"/>
        </w:rPr>
        <w:t>..........................</w:t>
      </w:r>
      <w:r w:rsidRPr="00CB6AA2">
        <w:rPr>
          <w:b/>
          <w:bCs/>
          <w:color w:val="000000"/>
          <w:lang w:val="it-IT" w:eastAsia="en-US"/>
        </w:rPr>
        <w:t xml:space="preserve">                      </w:t>
      </w:r>
      <w:r w:rsidR="00CB6AA2" w:rsidRPr="00CB6AA2">
        <w:rPr>
          <w:b/>
          <w:bCs/>
          <w:color w:val="000000"/>
          <w:lang w:val="it-IT" w:eastAsia="en-US"/>
        </w:rPr>
        <w:t xml:space="preserve">                                                                         </w:t>
      </w:r>
      <w:r w:rsidR="00CB6AA2" w:rsidRPr="00CB6AA2">
        <w:rPr>
          <w:b/>
          <w:color w:val="000000"/>
        </w:rPr>
        <w:t xml:space="preserve">    </w:t>
      </w:r>
    </w:p>
    <w:sectPr w:rsidR="00DB4292" w:rsidRPr="00CB6AA2" w:rsidSect="00ED1652">
      <w:pgSz w:w="12240" w:h="15840"/>
      <w:pgMar w:top="576" w:right="810" w:bottom="108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4006F"/>
    <w:multiLevelType w:val="hybridMultilevel"/>
    <w:tmpl w:val="D7E8867A"/>
    <w:lvl w:ilvl="0" w:tplc="9A3EB23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6C72485"/>
    <w:multiLevelType w:val="hybridMultilevel"/>
    <w:tmpl w:val="D970560A"/>
    <w:lvl w:ilvl="0" w:tplc="97BA1FA8">
      <w:start w:val="1"/>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24B34"/>
    <w:multiLevelType w:val="hybridMultilevel"/>
    <w:tmpl w:val="4A004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5190E"/>
    <w:multiLevelType w:val="hybridMultilevel"/>
    <w:tmpl w:val="C7CA0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666F6"/>
    <w:rsid w:val="000002E3"/>
    <w:rsid w:val="000061CC"/>
    <w:rsid w:val="00072ECD"/>
    <w:rsid w:val="000C6C1C"/>
    <w:rsid w:val="000E06DA"/>
    <w:rsid w:val="001005A1"/>
    <w:rsid w:val="00137AAE"/>
    <w:rsid w:val="00170B9C"/>
    <w:rsid w:val="00183A9C"/>
    <w:rsid w:val="001A22F6"/>
    <w:rsid w:val="001D253F"/>
    <w:rsid w:val="002129A1"/>
    <w:rsid w:val="00217DC8"/>
    <w:rsid w:val="00224125"/>
    <w:rsid w:val="00241F32"/>
    <w:rsid w:val="00310250"/>
    <w:rsid w:val="003666F6"/>
    <w:rsid w:val="003A243D"/>
    <w:rsid w:val="00513024"/>
    <w:rsid w:val="005C7C86"/>
    <w:rsid w:val="005E3650"/>
    <w:rsid w:val="00604A01"/>
    <w:rsid w:val="006905B1"/>
    <w:rsid w:val="006A7216"/>
    <w:rsid w:val="00705CC0"/>
    <w:rsid w:val="00744AC3"/>
    <w:rsid w:val="007607BC"/>
    <w:rsid w:val="00771C58"/>
    <w:rsid w:val="007D54E4"/>
    <w:rsid w:val="00826C67"/>
    <w:rsid w:val="008C6385"/>
    <w:rsid w:val="008C732C"/>
    <w:rsid w:val="008F3DE5"/>
    <w:rsid w:val="00903EE4"/>
    <w:rsid w:val="0092085E"/>
    <w:rsid w:val="009333E6"/>
    <w:rsid w:val="00934EDD"/>
    <w:rsid w:val="00985FD8"/>
    <w:rsid w:val="009F17F3"/>
    <w:rsid w:val="009F5ADD"/>
    <w:rsid w:val="00A65FCB"/>
    <w:rsid w:val="00AB429E"/>
    <w:rsid w:val="00B32C56"/>
    <w:rsid w:val="00BB2DD5"/>
    <w:rsid w:val="00BB45E9"/>
    <w:rsid w:val="00BB47A9"/>
    <w:rsid w:val="00C744B5"/>
    <w:rsid w:val="00CB6AA2"/>
    <w:rsid w:val="00CD249D"/>
    <w:rsid w:val="00CD4F08"/>
    <w:rsid w:val="00D26A76"/>
    <w:rsid w:val="00DB4292"/>
    <w:rsid w:val="00DD544F"/>
    <w:rsid w:val="00E27900"/>
    <w:rsid w:val="00ED1652"/>
    <w:rsid w:val="00F91A05"/>
    <w:rsid w:val="00FB4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F6"/>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DD5"/>
    <w:rPr>
      <w:color w:val="0000FF" w:themeColor="hyperlink"/>
      <w:u w:val="single"/>
    </w:rPr>
  </w:style>
  <w:style w:type="paragraph" w:styleId="Header">
    <w:name w:val="header"/>
    <w:basedOn w:val="Normal"/>
    <w:link w:val="HeaderChar"/>
    <w:uiPriority w:val="99"/>
    <w:unhideWhenUsed/>
    <w:rsid w:val="00BB2DD5"/>
    <w:pPr>
      <w:tabs>
        <w:tab w:val="center" w:pos="4680"/>
        <w:tab w:val="right" w:pos="9360"/>
      </w:tabs>
    </w:pPr>
    <w:rPr>
      <w:rFonts w:asciiTheme="minorHAnsi" w:eastAsiaTheme="minorEastAsia" w:hAnsiTheme="minorHAnsi" w:cstheme="minorBidi"/>
      <w:sz w:val="22"/>
      <w:szCs w:val="22"/>
      <w:lang w:eastAsia="ro-RO"/>
    </w:rPr>
  </w:style>
  <w:style w:type="character" w:customStyle="1" w:styleId="HeaderChar">
    <w:name w:val="Header Char"/>
    <w:basedOn w:val="DefaultParagraphFont"/>
    <w:link w:val="Header"/>
    <w:uiPriority w:val="99"/>
    <w:rsid w:val="00BB2DD5"/>
    <w:rPr>
      <w:rFonts w:eastAsiaTheme="minorEastAsia"/>
      <w:lang w:val="ro-RO" w:eastAsia="ro-RO"/>
    </w:rPr>
  </w:style>
  <w:style w:type="paragraph" w:styleId="NoSpacing">
    <w:name w:val="No Spacing"/>
    <w:uiPriority w:val="1"/>
    <w:qFormat/>
    <w:rsid w:val="00BB2DD5"/>
    <w:pPr>
      <w:spacing w:after="0" w:line="240" w:lineRule="auto"/>
    </w:pPr>
    <w:rPr>
      <w:rFonts w:ascii="Calibri" w:eastAsia="Times New Roman" w:hAnsi="Calibri" w:cs="Calibri"/>
      <w:lang w:val="ro-RO"/>
    </w:rPr>
  </w:style>
  <w:style w:type="table" w:styleId="TableGrid">
    <w:name w:val="Table Grid"/>
    <w:basedOn w:val="TableNormal"/>
    <w:uiPriority w:val="59"/>
    <w:rsid w:val="00BB2DD5"/>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732C"/>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uiPriority w:val="99"/>
    <w:semiHidden/>
    <w:unhideWhenUsed/>
    <w:rsid w:val="008C732C"/>
    <w:pPr>
      <w:widowControl w:val="0"/>
      <w:spacing w:after="120"/>
      <w:ind w:left="283"/>
    </w:pPr>
    <w:rPr>
      <w:rFonts w:ascii="Calibri" w:eastAsia="Calibri" w:hAnsi="Calibri"/>
      <w:sz w:val="16"/>
      <w:szCs w:val="16"/>
      <w:lang w:val="en-US" w:eastAsia="en-US"/>
    </w:rPr>
  </w:style>
  <w:style w:type="character" w:customStyle="1" w:styleId="BodyTextIndent3Char">
    <w:name w:val="Body Text Indent 3 Char"/>
    <w:basedOn w:val="DefaultParagraphFont"/>
    <w:link w:val="BodyTextIndent3"/>
    <w:uiPriority w:val="99"/>
    <w:semiHidden/>
    <w:rsid w:val="008C732C"/>
    <w:rPr>
      <w:rFonts w:ascii="Calibri" w:eastAsia="Calibri" w:hAnsi="Calibri" w:cs="Times New Roman"/>
      <w:sz w:val="16"/>
      <w:szCs w:val="16"/>
    </w:rPr>
  </w:style>
  <w:style w:type="character" w:customStyle="1" w:styleId="spctbdy">
    <w:name w:val="s_pct_bdy"/>
    <w:basedOn w:val="DefaultParagraphFont"/>
    <w:rsid w:val="008C732C"/>
    <w:rPr>
      <w:rFonts w:ascii="Verdana" w:hAnsi="Verdana" w:hint="default"/>
      <w:b w:val="0"/>
      <w:bCs w:val="0"/>
      <w:color w:val="000000"/>
      <w:sz w:val="20"/>
      <w:szCs w:val="20"/>
      <w:shd w:val="clear" w:color="auto" w:fill="FFFFFF"/>
    </w:rPr>
  </w:style>
  <w:style w:type="character" w:customStyle="1" w:styleId="sden1">
    <w:name w:val="s_den1"/>
    <w:basedOn w:val="DefaultParagraphFont"/>
    <w:rsid w:val="008C732C"/>
    <w:rPr>
      <w:rFonts w:ascii="Verdana" w:hAnsi="Verdana" w:hint="default"/>
      <w:b/>
      <w:bCs/>
      <w:vanish w:val="0"/>
      <w:webHidden w:val="0"/>
      <w:color w:val="8B0000"/>
      <w:sz w:val="30"/>
      <w:szCs w:val="30"/>
      <w:shd w:val="clear" w:color="auto" w:fill="FFFFFF"/>
      <w:specVanish w:val="0"/>
    </w:rPr>
  </w:style>
  <w:style w:type="paragraph" w:styleId="ListParagraph">
    <w:name w:val="List Paragraph"/>
    <w:basedOn w:val="Normal"/>
    <w:uiPriority w:val="34"/>
    <w:qFormat/>
    <w:rsid w:val="00183A9C"/>
    <w:pPr>
      <w:ind w:left="720"/>
    </w:pPr>
    <w:rPr>
      <w:lang w:val="en-US" w:eastAsia="en-US"/>
    </w:rPr>
  </w:style>
  <w:style w:type="character" w:customStyle="1" w:styleId="salnbdy">
    <w:name w:val="s_aln_bdy"/>
    <w:basedOn w:val="DefaultParagraphFont"/>
    <w:rsid w:val="00183A9C"/>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mariat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9F927-73BF-4937-A235-FAF0D0A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nmircea</cp:lastModifiedBy>
  <cp:revision>8</cp:revision>
  <cp:lastPrinted>2021-11-23T10:55:00Z</cp:lastPrinted>
  <dcterms:created xsi:type="dcterms:W3CDTF">2022-01-06T10:31:00Z</dcterms:created>
  <dcterms:modified xsi:type="dcterms:W3CDTF">2022-01-06T11:02:00Z</dcterms:modified>
</cp:coreProperties>
</file>