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9"/>
        <w:tblW w:w="9936" w:type="dxa"/>
        <w:tblBorders>
          <w:bottom w:val="single" w:sz="4" w:space="0" w:color="auto"/>
        </w:tblBorders>
        <w:tblLayout w:type="fixed"/>
        <w:tblLook w:val="0000"/>
      </w:tblPr>
      <w:tblGrid>
        <w:gridCol w:w="6376"/>
        <w:gridCol w:w="2732"/>
        <w:gridCol w:w="828"/>
      </w:tblGrid>
      <w:tr w:rsidR="000819A5" w:rsidRPr="00996E9D" w:rsidTr="004E4C11">
        <w:trPr>
          <w:trHeight w:val="713"/>
        </w:trPr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9A5" w:rsidRPr="00996E9D" w:rsidRDefault="000819A5" w:rsidP="004E4C11">
            <w:pPr>
              <w:jc w:val="both"/>
              <w:rPr>
                <w:sz w:val="22"/>
                <w:szCs w:val="22"/>
              </w:rPr>
            </w:pPr>
            <w:r w:rsidRPr="00996E9D">
              <w:rPr>
                <w:sz w:val="22"/>
                <w:szCs w:val="22"/>
              </w:rPr>
              <w:t xml:space="preserve">ROMÂNIA </w:t>
            </w:r>
          </w:p>
          <w:p w:rsidR="000819A5" w:rsidRPr="00996E9D" w:rsidRDefault="000819A5" w:rsidP="004E4C11">
            <w:pPr>
              <w:jc w:val="both"/>
              <w:rPr>
                <w:sz w:val="22"/>
                <w:szCs w:val="22"/>
              </w:rPr>
            </w:pPr>
            <w:r w:rsidRPr="00996E9D">
              <w:rPr>
                <w:sz w:val="22"/>
                <w:szCs w:val="22"/>
              </w:rPr>
              <w:t>JUDEŢUL TIMIŞ</w:t>
            </w:r>
          </w:p>
          <w:p w:rsidR="000819A5" w:rsidRPr="00996E9D" w:rsidRDefault="000819A5" w:rsidP="004E4C11">
            <w:pPr>
              <w:jc w:val="both"/>
              <w:rPr>
                <w:sz w:val="22"/>
                <w:szCs w:val="22"/>
              </w:rPr>
            </w:pPr>
            <w:r w:rsidRPr="00996E9D">
              <w:rPr>
                <w:sz w:val="22"/>
                <w:szCs w:val="22"/>
              </w:rPr>
              <w:t>MUNICIPIUL  TIMIŞOARA</w:t>
            </w:r>
          </w:p>
          <w:p w:rsidR="004E7122" w:rsidRPr="00996E9D" w:rsidRDefault="00A24223" w:rsidP="004E4C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DIRECŢIA DE MEDIU </w:t>
            </w:r>
          </w:p>
          <w:p w:rsidR="000819A5" w:rsidRPr="00996E9D" w:rsidRDefault="004E7122" w:rsidP="00A87F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E9D">
              <w:rPr>
                <w:sz w:val="22"/>
                <w:szCs w:val="22"/>
              </w:rPr>
              <w:t xml:space="preserve">SC2017- </w:t>
            </w:r>
            <w:r w:rsidR="00A87F60">
              <w:rPr>
                <w:sz w:val="22"/>
                <w:szCs w:val="22"/>
              </w:rPr>
              <w:t>11825/12.</w:t>
            </w:r>
            <w:r w:rsidRPr="00996E9D">
              <w:rPr>
                <w:sz w:val="22"/>
                <w:szCs w:val="22"/>
              </w:rPr>
              <w:t xml:space="preserve"> 05.2017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9A5" w:rsidRPr="00996E9D" w:rsidRDefault="000819A5" w:rsidP="004E4C11">
            <w:pPr>
              <w:rPr>
                <w:sz w:val="22"/>
                <w:szCs w:val="22"/>
              </w:rPr>
            </w:pPr>
          </w:p>
          <w:p w:rsidR="000819A5" w:rsidRPr="00996E9D" w:rsidRDefault="000819A5" w:rsidP="004E4C11">
            <w:pPr>
              <w:jc w:val="center"/>
              <w:rPr>
                <w:sz w:val="22"/>
                <w:szCs w:val="22"/>
              </w:rPr>
            </w:pPr>
            <w:r w:rsidRPr="00996E9D">
              <w:rPr>
                <w:sz w:val="22"/>
                <w:szCs w:val="22"/>
              </w:rPr>
              <w:t>APROBAT</w:t>
            </w:r>
          </w:p>
          <w:p w:rsidR="000819A5" w:rsidRPr="00996E9D" w:rsidRDefault="000819A5" w:rsidP="004E4C11">
            <w:pPr>
              <w:jc w:val="center"/>
              <w:rPr>
                <w:sz w:val="22"/>
                <w:szCs w:val="22"/>
              </w:rPr>
            </w:pPr>
            <w:r w:rsidRPr="00996E9D">
              <w:rPr>
                <w:sz w:val="22"/>
                <w:szCs w:val="22"/>
              </w:rPr>
              <w:t>PRIMAR</w:t>
            </w:r>
          </w:p>
          <w:p w:rsidR="000819A5" w:rsidRPr="00996E9D" w:rsidRDefault="000819A5" w:rsidP="004E4C11">
            <w:pPr>
              <w:jc w:val="center"/>
              <w:rPr>
                <w:sz w:val="22"/>
                <w:szCs w:val="22"/>
              </w:rPr>
            </w:pPr>
            <w:r w:rsidRPr="00996E9D">
              <w:rPr>
                <w:sz w:val="22"/>
                <w:szCs w:val="22"/>
              </w:rPr>
              <w:t>NICOLAE ROBU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9A5" w:rsidRPr="00996E9D" w:rsidRDefault="000819A5" w:rsidP="004E4C11">
            <w:pPr>
              <w:jc w:val="center"/>
              <w:rPr>
                <w:sz w:val="22"/>
                <w:szCs w:val="22"/>
              </w:rPr>
            </w:pPr>
          </w:p>
        </w:tc>
      </w:tr>
      <w:tr w:rsidR="000819A5" w:rsidRPr="00996E9D" w:rsidTr="004E4C11">
        <w:trPr>
          <w:cantSplit/>
          <w:trHeight w:val="241"/>
        </w:trPr>
        <w:tc>
          <w:tcPr>
            <w:tcW w:w="9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19A5" w:rsidRPr="00996E9D" w:rsidRDefault="000819A5" w:rsidP="000819A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E40C25" w:rsidRDefault="00E40C25" w:rsidP="00C5686B">
      <w:pPr>
        <w:jc w:val="center"/>
        <w:rPr>
          <w:b/>
          <w:sz w:val="22"/>
          <w:szCs w:val="22"/>
        </w:rPr>
      </w:pPr>
    </w:p>
    <w:p w:rsidR="00E40C25" w:rsidRDefault="00E40C25" w:rsidP="00C5686B">
      <w:pPr>
        <w:jc w:val="center"/>
        <w:rPr>
          <w:b/>
          <w:sz w:val="22"/>
          <w:szCs w:val="22"/>
        </w:rPr>
      </w:pPr>
    </w:p>
    <w:p w:rsidR="00E40C25" w:rsidRDefault="00E40C25" w:rsidP="00C5686B">
      <w:pPr>
        <w:jc w:val="center"/>
        <w:rPr>
          <w:b/>
          <w:sz w:val="22"/>
          <w:szCs w:val="22"/>
        </w:rPr>
      </w:pPr>
    </w:p>
    <w:p w:rsidR="00E40C25" w:rsidRDefault="00E40C25" w:rsidP="00C5686B">
      <w:pPr>
        <w:jc w:val="center"/>
        <w:rPr>
          <w:b/>
          <w:sz w:val="22"/>
          <w:szCs w:val="22"/>
        </w:rPr>
      </w:pPr>
    </w:p>
    <w:p w:rsidR="00E40C25" w:rsidRDefault="00E40C25" w:rsidP="00C5686B">
      <w:pPr>
        <w:jc w:val="center"/>
        <w:rPr>
          <w:b/>
          <w:sz w:val="22"/>
          <w:szCs w:val="22"/>
        </w:rPr>
      </w:pPr>
    </w:p>
    <w:p w:rsidR="00E40C25" w:rsidRDefault="00E40C25" w:rsidP="00C5686B">
      <w:pPr>
        <w:jc w:val="center"/>
        <w:rPr>
          <w:b/>
          <w:sz w:val="22"/>
          <w:szCs w:val="22"/>
        </w:rPr>
      </w:pPr>
    </w:p>
    <w:p w:rsidR="00A43C7A" w:rsidRPr="00996E9D" w:rsidRDefault="00FA4C1E" w:rsidP="00C5686B">
      <w:pPr>
        <w:jc w:val="center"/>
        <w:rPr>
          <w:b/>
          <w:sz w:val="22"/>
          <w:szCs w:val="22"/>
        </w:rPr>
      </w:pPr>
      <w:r w:rsidRPr="00996E9D">
        <w:rPr>
          <w:b/>
          <w:sz w:val="22"/>
          <w:szCs w:val="22"/>
        </w:rPr>
        <w:t>R E F E R A T</w:t>
      </w:r>
    </w:p>
    <w:p w:rsidR="00A43C7A" w:rsidRPr="00996E9D" w:rsidRDefault="00C501A7" w:rsidP="00C5686B">
      <w:pPr>
        <w:jc w:val="center"/>
        <w:rPr>
          <w:bCs/>
          <w:sz w:val="22"/>
          <w:szCs w:val="22"/>
        </w:rPr>
      </w:pPr>
      <w:r w:rsidRPr="00996E9D">
        <w:rPr>
          <w:bCs/>
          <w:sz w:val="22"/>
          <w:szCs w:val="22"/>
        </w:rPr>
        <w:t>privind modificarea</w:t>
      </w:r>
      <w:r w:rsidR="00803541">
        <w:rPr>
          <w:bCs/>
          <w:sz w:val="22"/>
          <w:szCs w:val="22"/>
        </w:rPr>
        <w:t xml:space="preserve"> </w:t>
      </w:r>
      <w:r w:rsidRPr="00996E9D">
        <w:rPr>
          <w:bCs/>
          <w:sz w:val="22"/>
          <w:szCs w:val="22"/>
        </w:rPr>
        <w:t xml:space="preserve"> Hotărârii Consiliului Local nr. 129/11.03.2014 privind aprobarea înfiinţării şi funcţionării Pieţei ţărăneşti de tip piaţă volantă în Municipiul Timişoara </w:t>
      </w:r>
    </w:p>
    <w:p w:rsidR="009F20EE" w:rsidRPr="00996E9D" w:rsidRDefault="009F20EE" w:rsidP="001F5543">
      <w:pPr>
        <w:jc w:val="both"/>
        <w:outlineLvl w:val="0"/>
        <w:rPr>
          <w:sz w:val="22"/>
          <w:szCs w:val="22"/>
        </w:rPr>
      </w:pPr>
    </w:p>
    <w:p w:rsidR="00C802BD" w:rsidRDefault="00C802BD" w:rsidP="00E40C25">
      <w:pPr>
        <w:ind w:firstLine="567"/>
        <w:jc w:val="both"/>
        <w:rPr>
          <w:b/>
          <w:bCs/>
          <w:sz w:val="22"/>
          <w:szCs w:val="22"/>
          <w:lang w:val="en-US"/>
        </w:rPr>
      </w:pPr>
      <w:r>
        <w:rPr>
          <w:sz w:val="22"/>
          <w:szCs w:val="22"/>
        </w:rPr>
        <w:t xml:space="preserve">Prin </w:t>
      </w:r>
      <w:r w:rsidRPr="00996E9D">
        <w:rPr>
          <w:sz w:val="22"/>
          <w:szCs w:val="22"/>
        </w:rPr>
        <w:t>Hotărârii Consiliului Local al Municipiului Timişoara nr. 129/11.03.2014</w:t>
      </w:r>
      <w:r>
        <w:rPr>
          <w:sz w:val="22"/>
          <w:szCs w:val="22"/>
        </w:rPr>
        <w:t xml:space="preserve"> s-a aprobat înfinţarea</w:t>
      </w:r>
    </w:p>
    <w:p w:rsidR="00C802BD" w:rsidRDefault="00C802BD" w:rsidP="00C802BD">
      <w:pPr>
        <w:jc w:val="both"/>
        <w:rPr>
          <w:bCs/>
          <w:sz w:val="22"/>
          <w:szCs w:val="22"/>
        </w:rPr>
      </w:pPr>
      <w:r w:rsidRPr="00C802BD">
        <w:rPr>
          <w:bCs/>
          <w:sz w:val="22"/>
          <w:szCs w:val="22"/>
        </w:rPr>
        <w:t>şi funcţionarea Pieţei ţărăneşti de tip piaţă volantă în Municipiul Timişoara</w:t>
      </w:r>
      <w:r>
        <w:rPr>
          <w:bCs/>
          <w:sz w:val="22"/>
          <w:szCs w:val="22"/>
        </w:rPr>
        <w:t xml:space="preserve">, în zona parcării </w:t>
      </w:r>
      <w:r w:rsidRPr="007D7B05">
        <w:rPr>
          <w:i/>
          <w:sz w:val="22"/>
          <w:szCs w:val="22"/>
        </w:rPr>
        <w:t>„Dan Păltinişanu”- zona parcării din str. Diaconu Coresi</w:t>
      </w:r>
      <w:r w:rsidR="004E2075">
        <w:rPr>
          <w:i/>
          <w:sz w:val="22"/>
          <w:szCs w:val="22"/>
        </w:rPr>
        <w:t>.</w:t>
      </w:r>
    </w:p>
    <w:p w:rsidR="00AF633A" w:rsidRDefault="00AF633A" w:rsidP="00E40C25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În prezent locaţia de desfăşurare a pieţei volante a fost modificată datorită lucrărilor de construcţie ale carosabilului din această zonă fapt care a dus la mutarea locaţiei conform  Anexei  prezentate.</w:t>
      </w:r>
    </w:p>
    <w:p w:rsidR="00C501A7" w:rsidRPr="00996E9D" w:rsidRDefault="00C501A7" w:rsidP="00E40C25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996E9D">
        <w:rPr>
          <w:color w:val="000000"/>
          <w:sz w:val="22"/>
          <w:szCs w:val="22"/>
        </w:rPr>
        <w:t xml:space="preserve">Având în vedere Hotărârea Consiliului Local al Municipiului Timişoara nr.129/11.03.2014 modificată </w:t>
      </w:r>
      <w:r w:rsidR="00996E9D" w:rsidRPr="00996E9D">
        <w:rPr>
          <w:color w:val="000000"/>
          <w:sz w:val="22"/>
          <w:szCs w:val="22"/>
        </w:rPr>
        <w:t xml:space="preserve">şi completată </w:t>
      </w:r>
      <w:r w:rsidRPr="00996E9D">
        <w:rPr>
          <w:color w:val="000000"/>
          <w:sz w:val="22"/>
          <w:szCs w:val="22"/>
        </w:rPr>
        <w:t xml:space="preserve">prin </w:t>
      </w:r>
      <w:r w:rsidR="00996E9D" w:rsidRPr="00996E9D">
        <w:rPr>
          <w:color w:val="000000"/>
          <w:sz w:val="22"/>
          <w:szCs w:val="22"/>
        </w:rPr>
        <w:t xml:space="preserve">HCLMT </w:t>
      </w:r>
      <w:r w:rsidRPr="00996E9D">
        <w:rPr>
          <w:color w:val="000000"/>
          <w:sz w:val="22"/>
          <w:szCs w:val="22"/>
        </w:rPr>
        <w:t xml:space="preserve"> nr. 369/18.07.2014, </w:t>
      </w:r>
      <w:r w:rsidR="00996E9D" w:rsidRPr="00996E9D">
        <w:rPr>
          <w:color w:val="000000"/>
          <w:sz w:val="22"/>
          <w:szCs w:val="22"/>
        </w:rPr>
        <w:t xml:space="preserve">HCLMT </w:t>
      </w:r>
      <w:r w:rsidRPr="00996E9D">
        <w:rPr>
          <w:color w:val="000000"/>
          <w:sz w:val="22"/>
          <w:szCs w:val="22"/>
        </w:rPr>
        <w:t>nr. 114/05.04.2016,</w:t>
      </w:r>
      <w:r w:rsidR="00996E9D" w:rsidRPr="00996E9D">
        <w:rPr>
          <w:color w:val="000000"/>
          <w:sz w:val="22"/>
          <w:szCs w:val="22"/>
        </w:rPr>
        <w:t xml:space="preserve">HCLMT </w:t>
      </w:r>
      <w:r w:rsidRPr="00996E9D">
        <w:rPr>
          <w:color w:val="000000"/>
          <w:sz w:val="22"/>
          <w:szCs w:val="22"/>
        </w:rPr>
        <w:t xml:space="preserve"> nr. </w:t>
      </w:r>
      <w:r w:rsidR="00996E9D" w:rsidRPr="00996E9D">
        <w:rPr>
          <w:color w:val="000000"/>
          <w:sz w:val="22"/>
          <w:szCs w:val="22"/>
        </w:rPr>
        <w:t xml:space="preserve">136/18.10.2016 </w:t>
      </w:r>
      <w:r w:rsidRPr="00996E9D">
        <w:rPr>
          <w:color w:val="000000"/>
          <w:sz w:val="22"/>
          <w:szCs w:val="22"/>
        </w:rPr>
        <w:t xml:space="preserve"> privind aprobarea înfiinţării şi funcţionării Pieţei ţărăneşti de tip piaţă volantă în Municipiul Timişoara;</w:t>
      </w:r>
    </w:p>
    <w:p w:rsidR="00E40C25" w:rsidRDefault="00506EAB" w:rsidP="00E40C2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41B21">
        <w:rPr>
          <w:color w:val="000000"/>
          <w:sz w:val="22"/>
          <w:szCs w:val="22"/>
        </w:rPr>
        <w:t>În conformitate cu prevederile art.36 alin. (2)  lit. a) şi  alin. (3),  lit. c)  din Legea nr. 215/2001 privind administraţia publică locală, republicată şi mod</w:t>
      </w:r>
      <w:r w:rsidR="00E40C25">
        <w:rPr>
          <w:color w:val="000000"/>
          <w:sz w:val="22"/>
          <w:szCs w:val="22"/>
        </w:rPr>
        <w:t>ificată;</w:t>
      </w:r>
      <w:r w:rsidRPr="00441B21">
        <w:rPr>
          <w:color w:val="000000"/>
          <w:sz w:val="22"/>
          <w:szCs w:val="22"/>
        </w:rPr>
        <w:tab/>
      </w:r>
      <w:r w:rsidR="00D50735" w:rsidRPr="00996E9D">
        <w:rPr>
          <w:sz w:val="22"/>
          <w:szCs w:val="22"/>
        </w:rPr>
        <w:t>În temeiul art. 45 alin.(1) din Legea nr. 215 aprilie 2001 privind administraţia publică loc</w:t>
      </w:r>
      <w:r w:rsidR="00F9163C" w:rsidRPr="00996E9D">
        <w:rPr>
          <w:sz w:val="22"/>
          <w:szCs w:val="22"/>
        </w:rPr>
        <w:t>ală, republicată  şi modificată.</w:t>
      </w:r>
    </w:p>
    <w:p w:rsidR="00CC0738" w:rsidRPr="00996E9D" w:rsidRDefault="00C46CA6" w:rsidP="007A29C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96E9D">
        <w:rPr>
          <w:sz w:val="22"/>
          <w:szCs w:val="22"/>
        </w:rPr>
        <w:t>Având în vedere cele expuse mai sus</w:t>
      </w:r>
      <w:r w:rsidR="007A29C1">
        <w:rPr>
          <w:sz w:val="22"/>
          <w:szCs w:val="22"/>
        </w:rPr>
        <w:t xml:space="preserve"> se propune m</w:t>
      </w:r>
      <w:r w:rsidR="00CC0738" w:rsidRPr="00996E9D">
        <w:rPr>
          <w:sz w:val="22"/>
          <w:szCs w:val="22"/>
        </w:rPr>
        <w:t>odificarea Hotărârii Consiliului Local al Municipiului Timişoara nr. 129/11.03.2014 modificată</w:t>
      </w:r>
      <w:r w:rsidR="00CC0738" w:rsidRPr="00996E9D">
        <w:rPr>
          <w:bCs/>
          <w:sz w:val="22"/>
          <w:szCs w:val="22"/>
        </w:rPr>
        <w:t>,</w:t>
      </w:r>
      <w:r w:rsidR="00CC0738" w:rsidRPr="00996E9D">
        <w:rPr>
          <w:sz w:val="22"/>
          <w:szCs w:val="22"/>
        </w:rPr>
        <w:t xml:space="preserve"> după cum urmează:</w:t>
      </w:r>
    </w:p>
    <w:p w:rsidR="004E2075" w:rsidRDefault="004E2075" w:rsidP="00996E9D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405F25" w:rsidRDefault="00996E9D" w:rsidP="00996E9D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</w:rPr>
      </w:pPr>
      <w:r w:rsidRPr="007D7B05">
        <w:rPr>
          <w:bCs/>
          <w:i/>
          <w:sz w:val="22"/>
          <w:szCs w:val="22"/>
        </w:rPr>
        <w:t xml:space="preserve">Art. 1 </w:t>
      </w:r>
      <w:r w:rsidRPr="007D7B05">
        <w:rPr>
          <w:i/>
          <w:sz w:val="22"/>
          <w:szCs w:val="22"/>
        </w:rPr>
        <w:t xml:space="preserve">Se aprobă înfiinţarea unei  </w:t>
      </w:r>
      <w:r w:rsidRPr="007D7B05">
        <w:rPr>
          <w:i/>
          <w:iCs/>
          <w:sz w:val="22"/>
          <w:szCs w:val="22"/>
        </w:rPr>
        <w:t>pieţe ţărăneşti de tip piaţă volantă</w:t>
      </w:r>
      <w:r w:rsidRPr="007D7B05">
        <w:rPr>
          <w:i/>
          <w:sz w:val="22"/>
          <w:szCs w:val="22"/>
        </w:rPr>
        <w:t xml:space="preserve"> în Municipiul Timişoara în parcarea stadionului „Dan Păltinişanu”- zona parcării din str. Diaconu Coresi (Aleea FC Ripensia), conform  CF nr.435421 cu nr. top. 14166/2/2/1/1/1/1/1/1/b </w:t>
      </w:r>
      <w:r w:rsidR="00BD780D">
        <w:rPr>
          <w:i/>
          <w:sz w:val="22"/>
          <w:szCs w:val="22"/>
        </w:rPr>
        <w:t xml:space="preserve"> </w:t>
      </w:r>
      <w:r w:rsidRPr="007D7B05">
        <w:rPr>
          <w:i/>
          <w:sz w:val="22"/>
          <w:szCs w:val="22"/>
        </w:rPr>
        <w:t>proprietar Municipiul Timişoara domeniul public, pe o suprafaţă de cca 3500 mp,</w:t>
      </w:r>
      <w:r w:rsidRPr="00432D12">
        <w:rPr>
          <w:i/>
          <w:sz w:val="22"/>
          <w:szCs w:val="22"/>
        </w:rPr>
        <w:t xml:space="preserve"> </w:t>
      </w:r>
      <w:r w:rsidRPr="00BD780D">
        <w:rPr>
          <w:i/>
          <w:sz w:val="22"/>
          <w:szCs w:val="22"/>
        </w:rPr>
        <w:t xml:space="preserve">comform </w:t>
      </w:r>
      <w:r w:rsidRPr="004E2075">
        <w:rPr>
          <w:bCs/>
          <w:i/>
          <w:sz w:val="22"/>
          <w:szCs w:val="22"/>
        </w:rPr>
        <w:t>Anexei</w:t>
      </w:r>
      <w:r w:rsidR="00405F25" w:rsidRPr="004E2075">
        <w:rPr>
          <w:bCs/>
          <w:i/>
          <w:sz w:val="22"/>
          <w:szCs w:val="22"/>
        </w:rPr>
        <w:t xml:space="preserve"> </w:t>
      </w:r>
      <w:r w:rsidR="00BC6152">
        <w:rPr>
          <w:bCs/>
          <w:i/>
          <w:sz w:val="22"/>
          <w:szCs w:val="22"/>
        </w:rPr>
        <w:t>care face parte integrată din hotărâre;</w:t>
      </w:r>
    </w:p>
    <w:p w:rsidR="00BD780D" w:rsidRPr="007A29C1" w:rsidRDefault="00BD780D" w:rsidP="00BD780D">
      <w:pPr>
        <w:jc w:val="both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Se abrogă art. 2 din HCL 129/11.03.2014 </w:t>
      </w:r>
    </w:p>
    <w:p w:rsidR="003D1117" w:rsidRDefault="003D1117" w:rsidP="00996E9D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1D62D1">
        <w:rPr>
          <w:bCs/>
          <w:i/>
          <w:sz w:val="22"/>
          <w:szCs w:val="22"/>
        </w:rPr>
        <w:t>Art. 3:</w:t>
      </w:r>
      <w:r w:rsidRPr="001D62D1">
        <w:rPr>
          <w:i/>
          <w:color w:val="000000"/>
          <w:sz w:val="22"/>
          <w:szCs w:val="22"/>
        </w:rPr>
        <w:t xml:space="preserve"> În pieţele ţărăneşti de tip volantă de pe teritoriul Municipiului Timişoara este permisă comercializarea produselor de </w:t>
      </w:r>
      <w:r w:rsidRPr="00EC0D1F">
        <w:rPr>
          <w:i/>
          <w:color w:val="000000"/>
          <w:sz w:val="22"/>
          <w:szCs w:val="22"/>
        </w:rPr>
        <w:t>tipul legumelor, fructelor, florilor, mierii şi produselor apicole, lapte şi produse din lapte, alte produse de origine animală, produse de panificaţie şi patiserie</w:t>
      </w:r>
      <w:r w:rsidRPr="001D62D1">
        <w:rPr>
          <w:i/>
          <w:color w:val="000000"/>
          <w:sz w:val="22"/>
          <w:szCs w:val="22"/>
        </w:rPr>
        <w:t>, provenite din producţia proprie a vânzătorului sau a familiei acestuia</w:t>
      </w:r>
      <w:r w:rsidR="00866A2C">
        <w:rPr>
          <w:i/>
          <w:color w:val="000000"/>
          <w:sz w:val="22"/>
          <w:szCs w:val="22"/>
        </w:rPr>
        <w:t>, cu respectarea legislaţiei sanitar veterinare</w:t>
      </w:r>
      <w:r w:rsidRPr="001D62D1">
        <w:rPr>
          <w:i/>
          <w:color w:val="000000"/>
          <w:sz w:val="22"/>
          <w:szCs w:val="22"/>
        </w:rPr>
        <w:t>.</w:t>
      </w:r>
    </w:p>
    <w:p w:rsidR="00405F25" w:rsidRPr="00945D73" w:rsidRDefault="00405F25" w:rsidP="00996E9D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Art. 4. Accesul </w:t>
      </w:r>
      <w:r w:rsidRPr="00945D73">
        <w:rPr>
          <w:i/>
          <w:color w:val="000000"/>
          <w:sz w:val="22"/>
          <w:szCs w:val="22"/>
        </w:rPr>
        <w:t>în pieţele volante  este permis exclusiv  producătorilor agroalimentari conform specificului pieţei volante, iar verificarea respectării acestei prevederi întră în atribuţia  Direcţiei Poliţiei Locale Timişoara</w:t>
      </w:r>
    </w:p>
    <w:p w:rsidR="00EC0D1F" w:rsidRPr="00945D73" w:rsidRDefault="00EC0D1F" w:rsidP="00EC0D1F">
      <w:pPr>
        <w:jc w:val="both"/>
        <w:rPr>
          <w:i/>
          <w:color w:val="000000"/>
          <w:sz w:val="22"/>
          <w:szCs w:val="22"/>
        </w:rPr>
      </w:pPr>
      <w:r w:rsidRPr="00945D73">
        <w:rPr>
          <w:bCs/>
          <w:i/>
          <w:sz w:val="22"/>
          <w:szCs w:val="22"/>
        </w:rPr>
        <w:t xml:space="preserve">Art. </w:t>
      </w:r>
      <w:r w:rsidR="00BD780D" w:rsidRPr="00945D73">
        <w:rPr>
          <w:bCs/>
          <w:i/>
          <w:sz w:val="22"/>
          <w:szCs w:val="22"/>
        </w:rPr>
        <w:t>2 din HCL 369/2014</w:t>
      </w:r>
      <w:r w:rsidR="00945D73">
        <w:rPr>
          <w:bCs/>
          <w:i/>
          <w:sz w:val="22"/>
          <w:szCs w:val="22"/>
        </w:rPr>
        <w:t xml:space="preserve">, </w:t>
      </w:r>
      <w:r w:rsidR="00945D73" w:rsidRPr="00945D73">
        <w:rPr>
          <w:i/>
          <w:color w:val="000000"/>
          <w:sz w:val="22"/>
          <w:szCs w:val="22"/>
        </w:rPr>
        <w:t xml:space="preserve">orarul de funcţionare al pieţelor de tip piaţă volantă </w:t>
      </w:r>
      <w:r w:rsidRPr="00945D73">
        <w:rPr>
          <w:i/>
          <w:color w:val="000000"/>
          <w:sz w:val="22"/>
          <w:szCs w:val="22"/>
        </w:rPr>
        <w:t>este de la ora 05-18, iar zile de funcţionare după cum urmează:</w:t>
      </w:r>
    </w:p>
    <w:p w:rsidR="00EC0D1F" w:rsidRDefault="00EC0D1F" w:rsidP="00EC0D1F">
      <w:pPr>
        <w:numPr>
          <w:ilvl w:val="0"/>
          <w:numId w:val="8"/>
        </w:numPr>
        <w:jc w:val="both"/>
        <w:rPr>
          <w:i/>
          <w:color w:val="000000"/>
          <w:sz w:val="22"/>
          <w:szCs w:val="22"/>
        </w:rPr>
      </w:pPr>
      <w:r w:rsidRPr="00945D73">
        <w:rPr>
          <w:i/>
          <w:color w:val="000000"/>
          <w:sz w:val="22"/>
          <w:szCs w:val="22"/>
        </w:rPr>
        <w:t>Piaţa volantă zona Stadion Dan Păltinişanu</w:t>
      </w:r>
      <w:r>
        <w:rPr>
          <w:i/>
          <w:color w:val="000000"/>
          <w:sz w:val="22"/>
          <w:szCs w:val="22"/>
        </w:rPr>
        <w:t xml:space="preserve">  zilele de miercuri şi sâmbătă:</w:t>
      </w:r>
    </w:p>
    <w:p w:rsidR="00EC0D1F" w:rsidRDefault="003E20F9" w:rsidP="00EC0D1F">
      <w:pPr>
        <w:numPr>
          <w:ilvl w:val="0"/>
          <w:numId w:val="8"/>
        </w:numPr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Piaţa volantă  Piaţa Traian </w:t>
      </w:r>
      <w:r w:rsidR="00945D73">
        <w:rPr>
          <w:i/>
          <w:color w:val="000000"/>
          <w:sz w:val="22"/>
          <w:szCs w:val="22"/>
        </w:rPr>
        <w:t xml:space="preserve"> zilele de joi ale lun</w:t>
      </w:r>
      <w:r w:rsidR="00EC0D1F">
        <w:rPr>
          <w:i/>
          <w:color w:val="000000"/>
          <w:sz w:val="22"/>
          <w:szCs w:val="22"/>
        </w:rPr>
        <w:t>ii;</w:t>
      </w:r>
    </w:p>
    <w:p w:rsidR="003B64AD" w:rsidRPr="007A29C1" w:rsidRDefault="003B64AD" w:rsidP="00996E9D">
      <w:pPr>
        <w:jc w:val="both"/>
        <w:rPr>
          <w:i/>
          <w:sz w:val="22"/>
          <w:szCs w:val="22"/>
        </w:rPr>
      </w:pPr>
    </w:p>
    <w:p w:rsidR="008111C2" w:rsidRDefault="008111C2" w:rsidP="00996E9D">
      <w:pPr>
        <w:jc w:val="both"/>
        <w:rPr>
          <w:i/>
          <w:sz w:val="22"/>
          <w:szCs w:val="22"/>
        </w:rPr>
      </w:pPr>
      <w:r w:rsidRPr="00996E9D">
        <w:rPr>
          <w:b/>
          <w:sz w:val="22"/>
          <w:szCs w:val="22"/>
        </w:rPr>
        <w:t>Celelalte articole rămân nemodificate</w:t>
      </w:r>
    </w:p>
    <w:p w:rsidR="00CC0738" w:rsidRPr="00996E9D" w:rsidRDefault="00CC0738" w:rsidP="00D5073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-63"/>
        <w:tblW w:w="9872" w:type="dxa"/>
        <w:tblLook w:val="04A0"/>
      </w:tblPr>
      <w:tblGrid>
        <w:gridCol w:w="5778"/>
        <w:gridCol w:w="4094"/>
      </w:tblGrid>
      <w:tr w:rsidR="007D7B05" w:rsidRPr="00996E9D" w:rsidTr="00D05125">
        <w:trPr>
          <w:trHeight w:val="851"/>
        </w:trPr>
        <w:tc>
          <w:tcPr>
            <w:tcW w:w="5778" w:type="dxa"/>
          </w:tcPr>
          <w:p w:rsidR="00D05125" w:rsidRDefault="00D05125" w:rsidP="00D0512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DIRECTOR EXECUTIV DIRECŢIA DE MEDIU </w:t>
            </w:r>
          </w:p>
          <w:p w:rsidR="00D05125" w:rsidRPr="00A24223" w:rsidRDefault="00D05125" w:rsidP="00D05125">
            <w:pPr>
              <w:jc w:val="center"/>
              <w:outlineLvl w:val="0"/>
              <w:rPr>
                <w:sz w:val="22"/>
                <w:szCs w:val="22"/>
              </w:rPr>
            </w:pPr>
            <w:r w:rsidRPr="00A24223">
              <w:rPr>
                <w:sz w:val="22"/>
                <w:szCs w:val="22"/>
              </w:rPr>
              <w:t xml:space="preserve">Adrian-Amedeo BERE SEMEREDI </w:t>
            </w:r>
          </w:p>
          <w:p w:rsidR="007D7B05" w:rsidRDefault="007D7B05" w:rsidP="00A24223">
            <w:pPr>
              <w:jc w:val="center"/>
              <w:rPr>
                <w:sz w:val="22"/>
                <w:szCs w:val="22"/>
              </w:rPr>
            </w:pPr>
          </w:p>
          <w:p w:rsidR="00866A2C" w:rsidRPr="00A24223" w:rsidRDefault="00866A2C" w:rsidP="00A24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4" w:type="dxa"/>
          </w:tcPr>
          <w:p w:rsidR="00D05125" w:rsidRDefault="00D05125" w:rsidP="00D0512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ReR</w:t>
            </w:r>
            <w:r>
              <w:rPr>
                <w:b/>
                <w:sz w:val="22"/>
                <w:szCs w:val="22"/>
              </w:rPr>
              <w:t>Responsabil C.G.P.C.D.D.D.</w:t>
            </w:r>
          </w:p>
          <w:p w:rsidR="00E40C25" w:rsidRPr="00E40C25" w:rsidRDefault="00D05125" w:rsidP="00D05125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Victor Cătălin BIRDA</w:t>
            </w:r>
          </w:p>
        </w:tc>
      </w:tr>
      <w:tr w:rsidR="007D7B05" w:rsidRPr="00996E9D" w:rsidTr="00D05125">
        <w:trPr>
          <w:trHeight w:val="113"/>
        </w:trPr>
        <w:tc>
          <w:tcPr>
            <w:tcW w:w="5778" w:type="dxa"/>
          </w:tcPr>
          <w:p w:rsidR="00D05125" w:rsidRDefault="00D05125" w:rsidP="00D0512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PT </w:t>
            </w:r>
            <w:r w:rsidRPr="00996E9D">
              <w:rPr>
                <w:b/>
                <w:sz w:val="22"/>
                <w:szCs w:val="22"/>
              </w:rPr>
              <w:t>DIRECTOR</w:t>
            </w:r>
            <w:r w:rsidRPr="00996E9D">
              <w:rPr>
                <w:b/>
                <w:color w:val="000000"/>
                <w:sz w:val="22"/>
                <w:szCs w:val="22"/>
              </w:rPr>
              <w:t xml:space="preserve"> DIRECTIA CLĂDIRI, </w:t>
            </w:r>
          </w:p>
          <w:p w:rsidR="007D7B05" w:rsidRDefault="00D05125" w:rsidP="00D05125">
            <w:pPr>
              <w:jc w:val="center"/>
              <w:outlineLvl w:val="0"/>
              <w:rPr>
                <w:sz w:val="22"/>
                <w:szCs w:val="22"/>
              </w:rPr>
            </w:pPr>
            <w:r w:rsidRPr="00996E9D">
              <w:rPr>
                <w:b/>
                <w:color w:val="000000"/>
                <w:sz w:val="22"/>
                <w:szCs w:val="22"/>
              </w:rPr>
              <w:t>TERENURI ŞI DOTĂRI DIVERSE</w:t>
            </w:r>
          </w:p>
          <w:p w:rsidR="00E40C25" w:rsidRPr="00E40C25" w:rsidRDefault="00D05125" w:rsidP="00426A24">
            <w:pPr>
              <w:jc w:val="center"/>
              <w:outlineLvl w:val="0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Mihai BONCEA</w:t>
            </w:r>
          </w:p>
        </w:tc>
        <w:tc>
          <w:tcPr>
            <w:tcW w:w="4094" w:type="dxa"/>
          </w:tcPr>
          <w:p w:rsidR="00A24223" w:rsidRPr="00A24223" w:rsidRDefault="00A24223" w:rsidP="00A24223">
            <w:pPr>
              <w:jc w:val="center"/>
              <w:outlineLvl w:val="0"/>
              <w:rPr>
                <w:color w:val="FFFFFF"/>
                <w:sz w:val="22"/>
                <w:szCs w:val="22"/>
              </w:rPr>
            </w:pPr>
          </w:p>
        </w:tc>
      </w:tr>
      <w:tr w:rsidR="007D7B05" w:rsidRPr="00996E9D" w:rsidTr="00D05125">
        <w:trPr>
          <w:trHeight w:val="499"/>
        </w:trPr>
        <w:tc>
          <w:tcPr>
            <w:tcW w:w="9872" w:type="dxa"/>
            <w:gridSpan w:val="2"/>
          </w:tcPr>
          <w:p w:rsidR="00866A2C" w:rsidRDefault="00866A2C" w:rsidP="00426A24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7D7B05" w:rsidRDefault="00866A2C" w:rsidP="00426A24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SEVICIUL JURIDIC</w:t>
            </w:r>
          </w:p>
          <w:p w:rsidR="00866A2C" w:rsidRPr="00F0428F" w:rsidRDefault="00866A2C" w:rsidP="00426A24">
            <w:pPr>
              <w:jc w:val="center"/>
              <w:outlineLvl w:val="0"/>
              <w:rPr>
                <w:sz w:val="22"/>
                <w:szCs w:val="22"/>
              </w:rPr>
            </w:pPr>
            <w:r w:rsidRPr="00F0428F">
              <w:rPr>
                <w:sz w:val="22"/>
                <w:szCs w:val="22"/>
              </w:rPr>
              <w:t>Alin STOICA</w:t>
            </w:r>
          </w:p>
          <w:p w:rsidR="003E20F9" w:rsidRPr="001D62D1" w:rsidRDefault="003E20F9" w:rsidP="00426A24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D05125" w:rsidRDefault="00D05125" w:rsidP="003E20F9">
      <w:pPr>
        <w:jc w:val="center"/>
        <w:outlineLvl w:val="0"/>
        <w:rPr>
          <w:b/>
          <w:sz w:val="22"/>
          <w:szCs w:val="22"/>
        </w:rPr>
      </w:pPr>
    </w:p>
    <w:p w:rsidR="003E20F9" w:rsidRPr="00996E9D" w:rsidRDefault="003E20F9" w:rsidP="003E20F9">
      <w:pPr>
        <w:jc w:val="center"/>
        <w:outlineLvl w:val="0"/>
        <w:rPr>
          <w:b/>
          <w:sz w:val="22"/>
          <w:szCs w:val="22"/>
        </w:rPr>
      </w:pPr>
    </w:p>
    <w:p w:rsidR="003E20F9" w:rsidRDefault="00AC0C47" w:rsidP="003E20F9">
      <w:pPr>
        <w:jc w:val="center"/>
        <w:outlineLvl w:val="0"/>
        <w:rPr>
          <w:color w:val="808080"/>
          <w:sz w:val="22"/>
          <w:szCs w:val="22"/>
        </w:rPr>
      </w:pPr>
      <w:r w:rsidRPr="00996E9D">
        <w:rPr>
          <w:color w:val="808080"/>
          <w:sz w:val="22"/>
          <w:szCs w:val="22"/>
        </w:rPr>
        <w:tab/>
      </w:r>
      <w:r w:rsidRPr="00996E9D">
        <w:rPr>
          <w:color w:val="808080"/>
          <w:sz w:val="22"/>
          <w:szCs w:val="22"/>
        </w:rPr>
        <w:tab/>
      </w:r>
      <w:r w:rsidRPr="00996E9D">
        <w:rPr>
          <w:color w:val="808080"/>
          <w:sz w:val="22"/>
          <w:szCs w:val="22"/>
        </w:rPr>
        <w:tab/>
      </w:r>
      <w:r w:rsidRPr="00996E9D">
        <w:rPr>
          <w:color w:val="808080"/>
          <w:sz w:val="22"/>
          <w:szCs w:val="22"/>
        </w:rPr>
        <w:tab/>
      </w:r>
      <w:r w:rsidRPr="00996E9D">
        <w:rPr>
          <w:color w:val="808080"/>
          <w:sz w:val="22"/>
          <w:szCs w:val="22"/>
        </w:rPr>
        <w:tab/>
      </w:r>
      <w:r w:rsidRPr="00996E9D">
        <w:rPr>
          <w:color w:val="808080"/>
          <w:sz w:val="22"/>
          <w:szCs w:val="22"/>
        </w:rPr>
        <w:tab/>
      </w:r>
      <w:r w:rsidRPr="00996E9D">
        <w:rPr>
          <w:color w:val="808080"/>
          <w:sz w:val="22"/>
          <w:szCs w:val="22"/>
        </w:rPr>
        <w:tab/>
      </w:r>
    </w:p>
    <w:p w:rsidR="003E20F9" w:rsidRDefault="003E20F9" w:rsidP="003E20F9">
      <w:pPr>
        <w:jc w:val="center"/>
        <w:outlineLvl w:val="0"/>
        <w:rPr>
          <w:color w:val="808080"/>
          <w:sz w:val="22"/>
          <w:szCs w:val="22"/>
        </w:rPr>
      </w:pPr>
    </w:p>
    <w:p w:rsidR="003E20F9" w:rsidRDefault="003E20F9" w:rsidP="003E20F9">
      <w:pPr>
        <w:jc w:val="center"/>
        <w:outlineLvl w:val="0"/>
        <w:rPr>
          <w:color w:val="808080"/>
          <w:sz w:val="22"/>
          <w:szCs w:val="22"/>
        </w:rPr>
      </w:pPr>
    </w:p>
    <w:p w:rsidR="003E20F9" w:rsidRDefault="003E20F9" w:rsidP="003E20F9">
      <w:pPr>
        <w:jc w:val="center"/>
        <w:outlineLvl w:val="0"/>
        <w:rPr>
          <w:color w:val="808080"/>
          <w:sz w:val="22"/>
          <w:szCs w:val="22"/>
        </w:rPr>
      </w:pPr>
    </w:p>
    <w:p w:rsidR="003E20F9" w:rsidRDefault="003E20F9" w:rsidP="003E20F9">
      <w:pPr>
        <w:jc w:val="center"/>
        <w:outlineLvl w:val="0"/>
        <w:rPr>
          <w:color w:val="808080"/>
          <w:sz w:val="22"/>
          <w:szCs w:val="22"/>
        </w:rPr>
      </w:pPr>
    </w:p>
    <w:p w:rsidR="003E20F9" w:rsidRDefault="003E20F9" w:rsidP="003E20F9">
      <w:pPr>
        <w:jc w:val="center"/>
        <w:outlineLvl w:val="0"/>
        <w:rPr>
          <w:color w:val="808080"/>
          <w:sz w:val="22"/>
          <w:szCs w:val="22"/>
        </w:rPr>
      </w:pPr>
    </w:p>
    <w:sectPr w:rsidR="003E20F9" w:rsidSect="00E40C25">
      <w:footerReference w:type="default" r:id="rId8"/>
      <w:pgSz w:w="11907" w:h="16840" w:code="9"/>
      <w:pgMar w:top="567" w:right="567" w:bottom="90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2F2" w:rsidRDefault="001672F2" w:rsidP="00B8404E">
      <w:r>
        <w:separator/>
      </w:r>
    </w:p>
  </w:endnote>
  <w:endnote w:type="continuationSeparator" w:id="0">
    <w:p w:rsidR="001672F2" w:rsidRDefault="001672F2" w:rsidP="00B84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4E" w:rsidRDefault="00B8404E" w:rsidP="00B8404E">
    <w:pPr>
      <w:pStyle w:val="Footer"/>
      <w:jc w:val="right"/>
    </w:pPr>
    <w:r w:rsidRPr="00FE19C4">
      <w:rPr>
        <w:color w:val="808080"/>
        <w:sz w:val="16"/>
        <w:szCs w:val="16"/>
      </w:rPr>
      <w:t xml:space="preserve">Cod FO53- 01, Ver </w:t>
    </w:r>
    <w:r w:rsidR="008111C2">
      <w:rPr>
        <w:color w:val="808080"/>
        <w:sz w:val="16"/>
        <w:szCs w:val="16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2F2" w:rsidRDefault="001672F2" w:rsidP="00B8404E">
      <w:r>
        <w:separator/>
      </w:r>
    </w:p>
  </w:footnote>
  <w:footnote w:type="continuationSeparator" w:id="0">
    <w:p w:rsidR="001672F2" w:rsidRDefault="001672F2" w:rsidP="00B84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A0D"/>
    <w:multiLevelType w:val="hybridMultilevel"/>
    <w:tmpl w:val="15DCD622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0409B"/>
    <w:multiLevelType w:val="hybridMultilevel"/>
    <w:tmpl w:val="75B2A86C"/>
    <w:lvl w:ilvl="0" w:tplc="EBD04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667A6"/>
    <w:multiLevelType w:val="hybridMultilevel"/>
    <w:tmpl w:val="3A30964C"/>
    <w:lvl w:ilvl="0" w:tplc="0409000F">
      <w:start w:val="1"/>
      <w:numFmt w:val="decimal"/>
      <w:lvlText w:val="%1."/>
      <w:lvlJc w:val="left"/>
      <w:pPr>
        <w:ind w:left="1346" w:hanging="360"/>
      </w:p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>
    <w:nsid w:val="34B37A4A"/>
    <w:multiLevelType w:val="hybridMultilevel"/>
    <w:tmpl w:val="818C5920"/>
    <w:lvl w:ilvl="0" w:tplc="947AA6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49EC"/>
    <w:multiLevelType w:val="hybridMultilevel"/>
    <w:tmpl w:val="6CC2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F2CCF"/>
    <w:multiLevelType w:val="hybridMultilevel"/>
    <w:tmpl w:val="8AEC0366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50036"/>
    <w:multiLevelType w:val="hybridMultilevel"/>
    <w:tmpl w:val="6F62A5B2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04AA3"/>
    <w:multiLevelType w:val="hybridMultilevel"/>
    <w:tmpl w:val="1572F7CA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F82"/>
    <w:rsid w:val="00001919"/>
    <w:rsid w:val="00003A58"/>
    <w:rsid w:val="00036286"/>
    <w:rsid w:val="00051F2C"/>
    <w:rsid w:val="0006244C"/>
    <w:rsid w:val="00066677"/>
    <w:rsid w:val="00071CE7"/>
    <w:rsid w:val="000819A5"/>
    <w:rsid w:val="00093EA8"/>
    <w:rsid w:val="000C0EC2"/>
    <w:rsid w:val="000C788E"/>
    <w:rsid w:val="000D2A51"/>
    <w:rsid w:val="000E2881"/>
    <w:rsid w:val="000F5907"/>
    <w:rsid w:val="00127088"/>
    <w:rsid w:val="00145090"/>
    <w:rsid w:val="00150DF1"/>
    <w:rsid w:val="00152C10"/>
    <w:rsid w:val="0015782E"/>
    <w:rsid w:val="001672F2"/>
    <w:rsid w:val="00170D1D"/>
    <w:rsid w:val="001A23F6"/>
    <w:rsid w:val="001B60ED"/>
    <w:rsid w:val="001C7DF9"/>
    <w:rsid w:val="001D62D1"/>
    <w:rsid w:val="001E339A"/>
    <w:rsid w:val="001E7546"/>
    <w:rsid w:val="001F340A"/>
    <w:rsid w:val="001F5543"/>
    <w:rsid w:val="0021138B"/>
    <w:rsid w:val="0023677C"/>
    <w:rsid w:val="002740F8"/>
    <w:rsid w:val="00290833"/>
    <w:rsid w:val="002C2F82"/>
    <w:rsid w:val="002C390E"/>
    <w:rsid w:val="002F2C69"/>
    <w:rsid w:val="00302884"/>
    <w:rsid w:val="00303139"/>
    <w:rsid w:val="00307CA8"/>
    <w:rsid w:val="003422B5"/>
    <w:rsid w:val="003B43AC"/>
    <w:rsid w:val="003B48B7"/>
    <w:rsid w:val="003B64AD"/>
    <w:rsid w:val="003C285A"/>
    <w:rsid w:val="003D1117"/>
    <w:rsid w:val="003D2F65"/>
    <w:rsid w:val="003D41C0"/>
    <w:rsid w:val="003E20F9"/>
    <w:rsid w:val="003F4A47"/>
    <w:rsid w:val="00404A91"/>
    <w:rsid w:val="00405F25"/>
    <w:rsid w:val="00426A24"/>
    <w:rsid w:val="00432D12"/>
    <w:rsid w:val="00452F93"/>
    <w:rsid w:val="0047043C"/>
    <w:rsid w:val="00470D15"/>
    <w:rsid w:val="00474954"/>
    <w:rsid w:val="004802B7"/>
    <w:rsid w:val="00480EE4"/>
    <w:rsid w:val="00491CFC"/>
    <w:rsid w:val="004A69A0"/>
    <w:rsid w:val="004C74E5"/>
    <w:rsid w:val="004D5866"/>
    <w:rsid w:val="004E0A0C"/>
    <w:rsid w:val="004E2075"/>
    <w:rsid w:val="004E4C11"/>
    <w:rsid w:val="004E7122"/>
    <w:rsid w:val="004F6C43"/>
    <w:rsid w:val="004F758C"/>
    <w:rsid w:val="00506EAB"/>
    <w:rsid w:val="00544386"/>
    <w:rsid w:val="00545AA3"/>
    <w:rsid w:val="00547CA5"/>
    <w:rsid w:val="00552A85"/>
    <w:rsid w:val="00552D00"/>
    <w:rsid w:val="00555A4A"/>
    <w:rsid w:val="005718F3"/>
    <w:rsid w:val="00581077"/>
    <w:rsid w:val="005B47F4"/>
    <w:rsid w:val="005D3241"/>
    <w:rsid w:val="005D710E"/>
    <w:rsid w:val="005E31B8"/>
    <w:rsid w:val="005E32DC"/>
    <w:rsid w:val="005E36A5"/>
    <w:rsid w:val="00630F1A"/>
    <w:rsid w:val="00640EE2"/>
    <w:rsid w:val="0064376E"/>
    <w:rsid w:val="00645389"/>
    <w:rsid w:val="0065291B"/>
    <w:rsid w:val="00670B4A"/>
    <w:rsid w:val="006771EC"/>
    <w:rsid w:val="00685C7E"/>
    <w:rsid w:val="00686E77"/>
    <w:rsid w:val="006A2149"/>
    <w:rsid w:val="006A3A5E"/>
    <w:rsid w:val="006D3982"/>
    <w:rsid w:val="006F56ED"/>
    <w:rsid w:val="00703C88"/>
    <w:rsid w:val="007146B4"/>
    <w:rsid w:val="0074426A"/>
    <w:rsid w:val="00747561"/>
    <w:rsid w:val="0077789A"/>
    <w:rsid w:val="00791478"/>
    <w:rsid w:val="007A29C1"/>
    <w:rsid w:val="007D4F07"/>
    <w:rsid w:val="007D7B05"/>
    <w:rsid w:val="007E023C"/>
    <w:rsid w:val="007E68BF"/>
    <w:rsid w:val="007F1870"/>
    <w:rsid w:val="00800E3A"/>
    <w:rsid w:val="00803541"/>
    <w:rsid w:val="008111C2"/>
    <w:rsid w:val="0082363D"/>
    <w:rsid w:val="0084019C"/>
    <w:rsid w:val="00844215"/>
    <w:rsid w:val="00846FDF"/>
    <w:rsid w:val="008623C6"/>
    <w:rsid w:val="00866A2C"/>
    <w:rsid w:val="00874F7C"/>
    <w:rsid w:val="00882F20"/>
    <w:rsid w:val="008B13A6"/>
    <w:rsid w:val="008C5340"/>
    <w:rsid w:val="008E2C43"/>
    <w:rsid w:val="008F2EE7"/>
    <w:rsid w:val="009075DD"/>
    <w:rsid w:val="00917202"/>
    <w:rsid w:val="0091772B"/>
    <w:rsid w:val="00921472"/>
    <w:rsid w:val="00927881"/>
    <w:rsid w:val="00945D73"/>
    <w:rsid w:val="00964158"/>
    <w:rsid w:val="0098329B"/>
    <w:rsid w:val="00984E1A"/>
    <w:rsid w:val="00996E9D"/>
    <w:rsid w:val="009C051A"/>
    <w:rsid w:val="009F06D2"/>
    <w:rsid w:val="009F20EE"/>
    <w:rsid w:val="009F2649"/>
    <w:rsid w:val="00A109E3"/>
    <w:rsid w:val="00A14A53"/>
    <w:rsid w:val="00A24223"/>
    <w:rsid w:val="00A30294"/>
    <w:rsid w:val="00A3363F"/>
    <w:rsid w:val="00A35905"/>
    <w:rsid w:val="00A37AF2"/>
    <w:rsid w:val="00A43C7A"/>
    <w:rsid w:val="00A71D86"/>
    <w:rsid w:val="00A82B6F"/>
    <w:rsid w:val="00A83D43"/>
    <w:rsid w:val="00A87F60"/>
    <w:rsid w:val="00AA23B2"/>
    <w:rsid w:val="00AB21B9"/>
    <w:rsid w:val="00AC0C47"/>
    <w:rsid w:val="00AE258B"/>
    <w:rsid w:val="00AF633A"/>
    <w:rsid w:val="00B02156"/>
    <w:rsid w:val="00B201C7"/>
    <w:rsid w:val="00B21315"/>
    <w:rsid w:val="00B224ED"/>
    <w:rsid w:val="00B42FFD"/>
    <w:rsid w:val="00B8404E"/>
    <w:rsid w:val="00BA5647"/>
    <w:rsid w:val="00BA74F0"/>
    <w:rsid w:val="00BA75E4"/>
    <w:rsid w:val="00BB0ECC"/>
    <w:rsid w:val="00BB3C08"/>
    <w:rsid w:val="00BC4EED"/>
    <w:rsid w:val="00BC6152"/>
    <w:rsid w:val="00BD2F40"/>
    <w:rsid w:val="00BD3CB2"/>
    <w:rsid w:val="00BD780D"/>
    <w:rsid w:val="00BE1E38"/>
    <w:rsid w:val="00BE7827"/>
    <w:rsid w:val="00C2467A"/>
    <w:rsid w:val="00C30A7D"/>
    <w:rsid w:val="00C335D6"/>
    <w:rsid w:val="00C347E6"/>
    <w:rsid w:val="00C46CA6"/>
    <w:rsid w:val="00C501A7"/>
    <w:rsid w:val="00C546E3"/>
    <w:rsid w:val="00C5686B"/>
    <w:rsid w:val="00C64A10"/>
    <w:rsid w:val="00C802BD"/>
    <w:rsid w:val="00C867D0"/>
    <w:rsid w:val="00C90B13"/>
    <w:rsid w:val="00C97A90"/>
    <w:rsid w:val="00CB1711"/>
    <w:rsid w:val="00CB2F25"/>
    <w:rsid w:val="00CB3E81"/>
    <w:rsid w:val="00CC0738"/>
    <w:rsid w:val="00CC3DFA"/>
    <w:rsid w:val="00CD1E70"/>
    <w:rsid w:val="00CD28AB"/>
    <w:rsid w:val="00CD34D0"/>
    <w:rsid w:val="00D04619"/>
    <w:rsid w:val="00D05125"/>
    <w:rsid w:val="00D12827"/>
    <w:rsid w:val="00D3554B"/>
    <w:rsid w:val="00D453E4"/>
    <w:rsid w:val="00D50735"/>
    <w:rsid w:val="00D63386"/>
    <w:rsid w:val="00D74C23"/>
    <w:rsid w:val="00D93CA4"/>
    <w:rsid w:val="00DD16B3"/>
    <w:rsid w:val="00DD2E68"/>
    <w:rsid w:val="00E00139"/>
    <w:rsid w:val="00E12E00"/>
    <w:rsid w:val="00E16663"/>
    <w:rsid w:val="00E40C25"/>
    <w:rsid w:val="00E465B2"/>
    <w:rsid w:val="00E612B5"/>
    <w:rsid w:val="00E72D23"/>
    <w:rsid w:val="00E95EC7"/>
    <w:rsid w:val="00EA23B5"/>
    <w:rsid w:val="00EA398E"/>
    <w:rsid w:val="00EA4E67"/>
    <w:rsid w:val="00EC0D1F"/>
    <w:rsid w:val="00EC1C23"/>
    <w:rsid w:val="00EE73B4"/>
    <w:rsid w:val="00F0428F"/>
    <w:rsid w:val="00F04330"/>
    <w:rsid w:val="00F16619"/>
    <w:rsid w:val="00F26123"/>
    <w:rsid w:val="00F40748"/>
    <w:rsid w:val="00F42D4D"/>
    <w:rsid w:val="00F56E92"/>
    <w:rsid w:val="00F9163C"/>
    <w:rsid w:val="00FA23B4"/>
    <w:rsid w:val="00FA2F90"/>
    <w:rsid w:val="00FA362C"/>
    <w:rsid w:val="00FA4C1E"/>
    <w:rsid w:val="00FC5EC9"/>
    <w:rsid w:val="00FC7A18"/>
    <w:rsid w:val="00FD7E1F"/>
    <w:rsid w:val="00FE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F82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19A5"/>
    <w:rPr>
      <w:color w:val="0000FF"/>
      <w:u w:val="single"/>
    </w:rPr>
  </w:style>
  <w:style w:type="table" w:styleId="TableGrid">
    <w:name w:val="Table Grid"/>
    <w:basedOn w:val="TableNormal"/>
    <w:rsid w:val="00C86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612B5"/>
    <w:rPr>
      <w:i/>
      <w:iCs/>
    </w:rPr>
  </w:style>
  <w:style w:type="paragraph" w:styleId="Header">
    <w:name w:val="header"/>
    <w:basedOn w:val="Normal"/>
    <w:link w:val="HeaderChar"/>
    <w:rsid w:val="00B84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404E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B84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4E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FD413-C983-4352-A890-5FBCABA9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 x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lpopa</dc:creator>
  <cp:keywords/>
  <dc:description/>
  <cp:lastModifiedBy>vbirda</cp:lastModifiedBy>
  <cp:revision>2</cp:revision>
  <cp:lastPrinted>2017-05-12T06:37:00Z</cp:lastPrinted>
  <dcterms:created xsi:type="dcterms:W3CDTF">2017-05-12T07:34:00Z</dcterms:created>
  <dcterms:modified xsi:type="dcterms:W3CDTF">2017-05-12T07:34:00Z</dcterms:modified>
</cp:coreProperties>
</file>