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before="100" w:lineRule="auto"/>
        <w:ind w:left="0"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IES-GEN nr. 979 / 11.12.2023</w:t>
      </w:r>
      <w:r w:rsidDel="00000000" w:rsidR="00000000" w:rsidRPr="00000000">
        <w:rPr>
          <w:rFonts w:ascii="Inter" w:cs="Inter" w:eastAsia="Inter" w:hAnsi="Inter"/>
          <w:sz w:val="20"/>
          <w:szCs w:val="20"/>
          <w:rtl w:val="0"/>
        </w:rPr>
        <w:t xml:space="preserve"> </w:t>
      </w:r>
    </w:p>
    <w:p w:rsidR="00000000" w:rsidDel="00000000" w:rsidP="00000000" w:rsidRDefault="00000000" w:rsidRPr="00000000" w14:paraId="00000002">
      <w:pPr>
        <w:spacing w:after="100" w:before="100" w:lineRule="auto"/>
        <w:ind w:left="0" w:firstLine="0"/>
        <w:rPr>
          <w:rFonts w:ascii="Inter" w:cs="Inter" w:eastAsia="Inter" w:hAnsi="Inter"/>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Rule="auto"/>
        <w:rPr>
          <w:rFonts w:ascii="Inter" w:cs="Inter" w:eastAsia="Inter" w:hAnsi="Inter"/>
          <w:b w:val="1"/>
          <w:sz w:val="32"/>
          <w:szCs w:val="32"/>
        </w:rPr>
      </w:pPr>
      <w:r w:rsidDel="00000000" w:rsidR="00000000" w:rsidRPr="00000000">
        <w:rPr>
          <w:rFonts w:ascii="Inter" w:cs="Inter" w:eastAsia="Inter" w:hAnsi="Inter"/>
          <w:b w:val="1"/>
          <w:sz w:val="32"/>
          <w:szCs w:val="32"/>
          <w:rtl w:val="0"/>
        </w:rPr>
        <w:t xml:space="preserve">Raport de specialitate</w:t>
      </w:r>
    </w:p>
    <w:p w:rsidR="00000000" w:rsidDel="00000000" w:rsidP="00000000" w:rsidRDefault="00000000" w:rsidRPr="00000000" w14:paraId="00000004">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asupra proiectului de hotărâre</w:t>
      </w:r>
      <w:r w:rsidDel="00000000" w:rsidR="00000000" w:rsidRPr="00000000">
        <w:rPr>
          <w:rFonts w:ascii="Inter" w:cs="Inter" w:eastAsia="Inter" w:hAnsi="Inter"/>
          <w:color w:val="212529"/>
          <w:sz w:val="20"/>
          <w:szCs w:val="20"/>
          <w:rtl w:val="0"/>
        </w:rPr>
        <w:t xml:space="preserve"> </w:t>
      </w:r>
      <w:r w:rsidDel="00000000" w:rsidR="00000000" w:rsidRPr="00000000">
        <w:rPr>
          <w:rFonts w:ascii="Inter" w:cs="Inter" w:eastAsia="Inter" w:hAnsi="Inter"/>
          <w:sz w:val="20"/>
          <w:szCs w:val="20"/>
          <w:rtl w:val="0"/>
        </w:rPr>
        <w:t xml:space="preserve">privind aprobarea modificării/actualizării Regulamentului de organizare și funcționare, Organigramei, Statului de funcții și Coeficienții de ierarhizare ale Centrului de Proiecte al Municipiului Timișoara</w:t>
      </w:r>
    </w:p>
    <w:p w:rsidR="00000000" w:rsidDel="00000000" w:rsidP="00000000" w:rsidRDefault="00000000" w:rsidRPr="00000000" w14:paraId="00000005">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6">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7">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8">
      <w:pPr>
        <w:spacing w:after="100" w:before="100"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09">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Luand în considerare prevederile legale aplicabile: </w:t>
      </w:r>
    </w:p>
    <w:p w:rsidR="00000000" w:rsidDel="00000000" w:rsidP="00000000" w:rsidRDefault="00000000" w:rsidRPr="00000000" w14:paraId="0000000A">
      <w:pPr>
        <w:numPr>
          <w:ilvl w:val="0"/>
          <w:numId w:val="3"/>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Art. XVII-XXII și </w:t>
      </w:r>
      <w:r w:rsidDel="00000000" w:rsidR="00000000" w:rsidRPr="00000000">
        <w:rPr>
          <w:rFonts w:ascii="Inter" w:cs="Inter" w:eastAsia="Inter" w:hAnsi="Inter"/>
          <w:sz w:val="20"/>
          <w:szCs w:val="20"/>
          <w:rtl w:val="0"/>
        </w:rPr>
        <w:t xml:space="preserve">Art. XXIX, alin. 10 </w:t>
      </w:r>
      <w:r w:rsidDel="00000000" w:rsidR="00000000" w:rsidRPr="00000000">
        <w:rPr>
          <w:rFonts w:ascii="Inter" w:cs="Inter" w:eastAsia="Inter" w:hAnsi="Inter"/>
          <w:sz w:val="20"/>
          <w:szCs w:val="20"/>
          <w:rtl w:val="0"/>
        </w:rPr>
        <w:t xml:space="preserve">din Legea nr. 296 din 26.10.2023 privind unele măsuri fiscal-bugetare pentru asigurarea sustenabilității financiare a Romaniei pe termen lung,</w:t>
      </w:r>
      <w:r w:rsidDel="00000000" w:rsidR="00000000" w:rsidRPr="00000000">
        <w:rPr>
          <w:rtl w:val="0"/>
        </w:rPr>
      </w:r>
    </w:p>
    <w:p w:rsidR="00000000" w:rsidDel="00000000" w:rsidP="00000000" w:rsidRDefault="00000000" w:rsidRPr="00000000" w14:paraId="0000000B">
      <w:pPr>
        <w:numPr>
          <w:ilvl w:val="0"/>
          <w:numId w:val="3"/>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Ordonanța de Urgență nr. 57/2019 privind Codul Administrativ, cu modificările și completarile ulterioare,</w:t>
      </w:r>
    </w:p>
    <w:p w:rsidR="00000000" w:rsidDel="00000000" w:rsidP="00000000" w:rsidRDefault="00000000" w:rsidRPr="00000000" w14:paraId="0000000C">
      <w:pPr>
        <w:numPr>
          <w:ilvl w:val="0"/>
          <w:numId w:val="3"/>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Legea nr. 53/2003 privind Codul Muncii, cu modificările și completările ulterioare,</w:t>
      </w:r>
    </w:p>
    <w:p w:rsidR="00000000" w:rsidDel="00000000" w:rsidP="00000000" w:rsidRDefault="00000000" w:rsidRPr="00000000" w14:paraId="0000000D">
      <w:pPr>
        <w:numPr>
          <w:ilvl w:val="0"/>
          <w:numId w:val="3"/>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Art. 11 si art. 13 alin. (1) din Legea - Cadru nr. 153/2017 privind salarizarea unitară a personalului plătit din fonduri publice,</w:t>
      </w:r>
    </w:p>
    <w:p w:rsidR="00000000" w:rsidDel="00000000" w:rsidP="00000000" w:rsidRDefault="00000000" w:rsidRPr="00000000" w14:paraId="0000000E">
      <w:pPr>
        <w:numPr>
          <w:ilvl w:val="0"/>
          <w:numId w:val="3"/>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Art. 129 alin. (2) lit. a) si alin. (3) lit. c ) si art. 196 alin. (1) lit. a) din Ordonanta de Urgenta nr. 57/2019 privind Codul Administrativ, cu modificările și completările ulterioare,</w:t>
      </w:r>
    </w:p>
    <w:p w:rsidR="00000000" w:rsidDel="00000000" w:rsidP="00000000" w:rsidRDefault="00000000" w:rsidRPr="00000000" w14:paraId="0000000F">
      <w:pPr>
        <w:spacing w:after="100" w:before="100"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10">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Analizând proiectul de hotărâre, anexele acestuia şi referatul de aprobare al proiectului facem următoarele precizări: </w:t>
      </w:r>
    </w:p>
    <w:p w:rsidR="00000000" w:rsidDel="00000000" w:rsidP="00000000" w:rsidRDefault="00000000" w:rsidRPr="00000000" w14:paraId="00000011">
      <w:pPr>
        <w:spacing w:after="100" w:before="100"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12">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Centrul de Proiecte al Municipiului Timișoara este o </w:t>
      </w:r>
      <w:r w:rsidDel="00000000" w:rsidR="00000000" w:rsidRPr="00000000">
        <w:rPr>
          <w:rFonts w:ascii="Roboto" w:cs="Roboto" w:eastAsia="Roboto" w:hAnsi="Roboto"/>
          <w:color w:val="1f1f1f"/>
          <w:sz w:val="21"/>
          <w:szCs w:val="21"/>
          <w:highlight w:val="white"/>
          <w:rtl w:val="0"/>
        </w:rPr>
        <w:t xml:space="preserve">instituție publică de interes local, cu activitate </w:t>
      </w:r>
      <w:r w:rsidDel="00000000" w:rsidR="00000000" w:rsidRPr="00000000">
        <w:rPr>
          <w:rFonts w:ascii="Inter" w:cs="Inter" w:eastAsia="Inter" w:hAnsi="Inter"/>
          <w:sz w:val="20"/>
          <w:szCs w:val="20"/>
          <w:rtl w:val="0"/>
        </w:rPr>
        <w:t xml:space="preserve">în domeniul culturii - în principal privind contribuția la implementarea Programului cultural național „Timișoara 2023 – Capitală Europeană a Culturii” și consolidarea moștenirii acestuia, finanțarea proiectelor culturale și gestionarea infrastructurii culturale (cinematografe și alte spații) -  iar modificarea cadrului legal impune actualizarea, respectiv corelarea atribuţiilor și responsabilităților structurilor organizatorice în concordanţă cu modificările legislaţiei aplicabile. </w:t>
      </w:r>
    </w:p>
    <w:p w:rsidR="00000000" w:rsidDel="00000000" w:rsidP="00000000" w:rsidRDefault="00000000" w:rsidRPr="00000000" w14:paraId="00000013">
      <w:pPr>
        <w:spacing w:after="100" w:before="100"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14">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În contextul aplicării prevederilor Legii nr. 296 din 26.10.2023 privind unele măsuri fiscal-bugetare pentru asigurarea sustenabilității financiare a României pe termen lung, se propune modificarea și actualizarea Regulamentului de Organizare și Funcționare al Centrului de Proiecte al Municipiului Timișoara, Organigramei, Statului de funcții, precum și a Coeficienților de ierarhizare. Prin modificările propuse se urmărește redimensionarea structurilor funcționale prin realocarea unui număr de posturi anumitor structuri, care funcționează ca serviciu, astfel încât aceste modificări să asigure o distribuire echitabilă a sarcinilor de serviciu, un circuit optim al informațiilor pe orizontală și pe verticală, o eficientizare a activităților desfășurate în cadrul instituției și, nu în ultimul rand, o îmbunătățire a calității serviciului public. </w:t>
      </w:r>
    </w:p>
    <w:p w:rsidR="00000000" w:rsidDel="00000000" w:rsidP="00000000" w:rsidRDefault="00000000" w:rsidRPr="00000000" w14:paraId="00000015">
      <w:pPr>
        <w:spacing w:after="100" w:before="100"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16">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Așa cum rezultă din Regulamentul de Organizare şi Funcționare, Organigrama și Statul de funcții aprobate prin HCLMT nr. 187/10.05.2022, structura organizatorică a Centrului de Proiecte al Municipiului Timișoara cuprinde:</w:t>
      </w:r>
    </w:p>
    <w:p w:rsidR="00000000" w:rsidDel="00000000" w:rsidP="00000000" w:rsidRDefault="00000000" w:rsidRPr="00000000" w14:paraId="00000017">
      <w:pPr>
        <w:numPr>
          <w:ilvl w:val="0"/>
          <w:numId w:val="5"/>
        </w:numPr>
        <w:spacing w:after="0" w:afterAutospacing="0" w:before="100" w:lineRule="auto"/>
        <w:ind w:left="708.6614173228347"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1 serviciu, </w:t>
      </w:r>
    </w:p>
    <w:p w:rsidR="00000000" w:rsidDel="00000000" w:rsidP="00000000" w:rsidRDefault="00000000" w:rsidRPr="00000000" w14:paraId="00000018">
      <w:pPr>
        <w:numPr>
          <w:ilvl w:val="0"/>
          <w:numId w:val="5"/>
        </w:numPr>
        <w:spacing w:after="0" w:afterAutospacing="0" w:before="0" w:beforeAutospacing="0" w:lineRule="auto"/>
        <w:ind w:left="708.6614173228347"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1 birou,</w:t>
      </w:r>
      <w:r w:rsidDel="00000000" w:rsidR="00000000" w:rsidRPr="00000000">
        <w:rPr>
          <w:rtl w:val="0"/>
        </w:rPr>
      </w:r>
    </w:p>
    <w:p w:rsidR="00000000" w:rsidDel="00000000" w:rsidP="00000000" w:rsidRDefault="00000000" w:rsidRPr="00000000" w14:paraId="00000019">
      <w:pPr>
        <w:numPr>
          <w:ilvl w:val="0"/>
          <w:numId w:val="5"/>
        </w:numPr>
        <w:spacing w:after="100" w:before="0" w:beforeAutospacing="0" w:lineRule="auto"/>
        <w:ind w:left="708.6614173228347"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4 compartimente, </w:t>
      </w:r>
    </w:p>
    <w:p w:rsidR="00000000" w:rsidDel="00000000" w:rsidP="00000000" w:rsidRDefault="00000000" w:rsidRPr="00000000" w14:paraId="0000001A">
      <w:pPr>
        <w:spacing w:after="100" w:before="100" w:lineRule="auto"/>
        <w:ind w:left="0"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iar numărul total al funcțiilor prevăzute în Organigramă și în Statul de funcții este de 30 funcții, dintre care: → 4 posturi corespunzătoare funcțiilor contractuale de conducere și 26 funcții contractuale de execuție.</w:t>
      </w:r>
    </w:p>
    <w:p w:rsidR="00000000" w:rsidDel="00000000" w:rsidP="00000000" w:rsidRDefault="00000000" w:rsidRPr="00000000" w14:paraId="0000001B">
      <w:pPr>
        <w:spacing w:after="100" w:before="100"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1C">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Modificările propuse au loc cu respectarea măsurilor dispuse prin Legea nr. 296/26.10.2023 cu privire la: </w:t>
      </w:r>
    </w:p>
    <w:p w:rsidR="00000000" w:rsidDel="00000000" w:rsidP="00000000" w:rsidRDefault="00000000" w:rsidRPr="00000000" w14:paraId="0000001D">
      <w:pPr>
        <w:numPr>
          <w:ilvl w:val="0"/>
          <w:numId w:val="1"/>
        </w:numPr>
        <w:spacing w:after="0" w:afterAutospacing="0" w:before="100"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desființarea posturilor contractuale vacante,</w:t>
      </w:r>
    </w:p>
    <w:p w:rsidR="00000000" w:rsidDel="00000000" w:rsidP="00000000" w:rsidRDefault="00000000" w:rsidRPr="00000000" w14:paraId="0000001E">
      <w:pPr>
        <w:numPr>
          <w:ilvl w:val="0"/>
          <w:numId w:val="1"/>
        </w:numPr>
        <w:spacing w:after="0" w:afterAutospacing="0" w:before="0" w:beforeAutospacing="0"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desființarea funcției de șef birou și a structurii organizatorice care funcționează ca birou,</w:t>
      </w:r>
    </w:p>
    <w:p w:rsidR="00000000" w:rsidDel="00000000" w:rsidP="00000000" w:rsidRDefault="00000000" w:rsidRPr="00000000" w14:paraId="0000001F">
      <w:pPr>
        <w:numPr>
          <w:ilvl w:val="0"/>
          <w:numId w:val="1"/>
        </w:numPr>
        <w:spacing w:after="0" w:afterAutospacing="0" w:before="0" w:beforeAutospacing="0"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modificarea normativului minim de personal pentru structura care funcționează ca serviciu,</w:t>
      </w:r>
    </w:p>
    <w:p w:rsidR="00000000" w:rsidDel="00000000" w:rsidP="00000000" w:rsidRDefault="00000000" w:rsidRPr="00000000" w14:paraId="00000020">
      <w:pPr>
        <w:numPr>
          <w:ilvl w:val="0"/>
          <w:numId w:val="1"/>
        </w:numPr>
        <w:spacing w:after="100" w:before="0" w:beforeAutospacing="0"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diminuarea numărului total al funcțiilor de conducere prin scaderea procentului de la maximum 12% la maximum 8%, din numărul total al posturilor aprobate. </w:t>
      </w:r>
    </w:p>
    <w:p w:rsidR="00000000" w:rsidDel="00000000" w:rsidP="00000000" w:rsidRDefault="00000000" w:rsidRPr="00000000" w14:paraId="00000021">
      <w:pPr>
        <w:spacing w:after="100" w:before="100"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22">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Conform Art. XVII, alin. 5, literele f) </w:t>
      </w:r>
      <w:r w:rsidDel="00000000" w:rsidR="00000000" w:rsidRPr="00000000">
        <w:rPr>
          <w:rFonts w:ascii="Inter" w:cs="Inter" w:eastAsia="Inter" w:hAnsi="Inter"/>
          <w:sz w:val="20"/>
          <w:szCs w:val="20"/>
          <w:rtl w:val="0"/>
        </w:rPr>
        <w:t xml:space="preserve">și l) </w:t>
      </w:r>
      <w:r w:rsidDel="00000000" w:rsidR="00000000" w:rsidRPr="00000000">
        <w:rPr>
          <w:rFonts w:ascii="Inter" w:cs="Inter" w:eastAsia="Inter" w:hAnsi="Inter"/>
          <w:sz w:val="20"/>
          <w:szCs w:val="20"/>
          <w:rtl w:val="0"/>
        </w:rPr>
        <w:t xml:space="preserve">din Legea nr. 296/26.10.2023,</w:t>
      </w:r>
      <w:r w:rsidDel="00000000" w:rsidR="00000000" w:rsidRPr="00000000">
        <w:rPr>
          <w:rFonts w:ascii="Inter" w:cs="Inter" w:eastAsia="Inter" w:hAnsi="Inter"/>
          <w:sz w:val="20"/>
          <w:szCs w:val="20"/>
          <w:rtl w:val="0"/>
        </w:rPr>
        <w:t xml:space="preserve"> </w:t>
      </w:r>
      <w:r w:rsidDel="00000000" w:rsidR="00000000" w:rsidRPr="00000000">
        <w:rPr>
          <w:rFonts w:ascii="Inter" w:cs="Inter" w:eastAsia="Inter" w:hAnsi="Inter"/>
          <w:sz w:val="20"/>
          <w:szCs w:val="20"/>
          <w:u w:val="single"/>
          <w:rtl w:val="0"/>
        </w:rPr>
        <w:t xml:space="preserve">posturile unice</w:t>
      </w:r>
      <w:r w:rsidDel="00000000" w:rsidR="00000000" w:rsidRPr="00000000">
        <w:rPr>
          <w:rFonts w:ascii="Inter" w:cs="Inter" w:eastAsia="Inter" w:hAnsi="Inter"/>
          <w:sz w:val="20"/>
          <w:szCs w:val="20"/>
          <w:rtl w:val="0"/>
        </w:rPr>
        <w:t xml:space="preserve"> și </w:t>
      </w:r>
      <w:r w:rsidDel="00000000" w:rsidR="00000000" w:rsidRPr="00000000">
        <w:rPr>
          <w:rFonts w:ascii="Roboto" w:cs="Roboto" w:eastAsia="Roboto" w:hAnsi="Roboto"/>
          <w:sz w:val="21"/>
          <w:szCs w:val="21"/>
          <w:u w:val="single"/>
          <w:rtl w:val="0"/>
        </w:rPr>
        <w:t xml:space="preserve">personalul contractual</w:t>
      </w:r>
      <w:r w:rsidDel="00000000" w:rsidR="00000000" w:rsidRPr="00000000">
        <w:rPr>
          <w:rFonts w:ascii="Roboto" w:cs="Roboto" w:eastAsia="Roboto" w:hAnsi="Roboto"/>
          <w:sz w:val="21"/>
          <w:szCs w:val="21"/>
          <w:rtl w:val="0"/>
        </w:rPr>
        <w:t xml:space="preserve"> pentru organizarea de spectacole şi concerte, organizarea şi valorificarea patrimoniului mobil şi imobil, constituirea, organizarea, prelucrarea, dezvoltarea şi conservarea colecţiilor de cărţi</w:t>
      </w:r>
      <w:r w:rsidDel="00000000" w:rsidR="00000000" w:rsidRPr="00000000">
        <w:rPr>
          <w:rFonts w:ascii="Inter" w:cs="Inter" w:eastAsia="Inter" w:hAnsi="Inter"/>
          <w:sz w:val="20"/>
          <w:szCs w:val="20"/>
          <w:rtl w:val="0"/>
        </w:rPr>
        <w:t xml:space="preserve">i</w:t>
      </w:r>
      <w:r w:rsidDel="00000000" w:rsidR="00000000" w:rsidRPr="00000000">
        <w:rPr>
          <w:rFonts w:ascii="Inter" w:cs="Inter" w:eastAsia="Inter" w:hAnsi="Inter"/>
          <w:sz w:val="20"/>
          <w:szCs w:val="20"/>
          <w:rtl w:val="0"/>
        </w:rPr>
        <w:t xml:space="preserve"> </w:t>
      </w:r>
      <w:r w:rsidDel="00000000" w:rsidR="00000000" w:rsidRPr="00000000">
        <w:rPr>
          <w:rFonts w:ascii="Inter" w:cs="Inter" w:eastAsia="Inter" w:hAnsi="Inter"/>
          <w:sz w:val="20"/>
          <w:szCs w:val="20"/>
          <w:u w:val="single"/>
          <w:rtl w:val="0"/>
        </w:rPr>
        <w:t xml:space="preserve">sunt exceptate de la desfiinţare</w:t>
      </w:r>
      <w:r w:rsidDel="00000000" w:rsidR="00000000" w:rsidRPr="00000000">
        <w:rPr>
          <w:rFonts w:ascii="Inter" w:cs="Inter" w:eastAsia="Inter" w:hAnsi="Inter"/>
          <w:sz w:val="20"/>
          <w:szCs w:val="20"/>
          <w:rtl w:val="0"/>
        </w:rPr>
        <w:t xml:space="preserve">. În consecinţă,</w:t>
      </w:r>
      <w:r w:rsidDel="00000000" w:rsidR="00000000" w:rsidRPr="00000000">
        <w:rPr>
          <w:rFonts w:ascii="Inter" w:cs="Inter" w:eastAsia="Inter" w:hAnsi="Inter"/>
          <w:sz w:val="20"/>
          <w:szCs w:val="20"/>
          <w:rtl w:val="0"/>
        </w:rPr>
        <w:t xml:space="preserve"> intră pe aceste excepții </w:t>
      </w:r>
      <w:r w:rsidDel="00000000" w:rsidR="00000000" w:rsidRPr="00000000">
        <w:rPr>
          <w:rFonts w:ascii="Inter" w:cs="Inter" w:eastAsia="Inter" w:hAnsi="Inter"/>
          <w:sz w:val="20"/>
          <w:szCs w:val="20"/>
          <w:rtl w:val="0"/>
        </w:rPr>
        <w:t xml:space="preserve">următoarele posturi vacante:</w:t>
      </w:r>
    </w:p>
    <w:p w:rsidR="00000000" w:rsidDel="00000000" w:rsidP="00000000" w:rsidRDefault="00000000" w:rsidRPr="00000000" w14:paraId="00000023">
      <w:pPr>
        <w:numPr>
          <w:ilvl w:val="0"/>
          <w:numId w:val="6"/>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Inspector de specialitate programe și proiecte, grad IA, </w:t>
      </w:r>
    </w:p>
    <w:p w:rsidR="00000000" w:rsidDel="00000000" w:rsidP="00000000" w:rsidRDefault="00000000" w:rsidRPr="00000000" w14:paraId="00000024">
      <w:pPr>
        <w:numPr>
          <w:ilvl w:val="0"/>
          <w:numId w:val="6"/>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Expert tehnic general, grad I, </w:t>
      </w:r>
    </w:p>
    <w:p w:rsidR="00000000" w:rsidDel="00000000" w:rsidP="00000000" w:rsidRDefault="00000000" w:rsidRPr="00000000" w14:paraId="00000025">
      <w:pPr>
        <w:numPr>
          <w:ilvl w:val="0"/>
          <w:numId w:val="6"/>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Inspector de specialitate - Operator, grad II</w:t>
      </w:r>
      <w:r w:rsidDel="00000000" w:rsidR="00000000" w:rsidRPr="00000000">
        <w:rPr>
          <w:rFonts w:ascii="Inter" w:cs="Inter" w:eastAsia="Inter" w:hAnsi="Inter"/>
          <w:sz w:val="20"/>
          <w:szCs w:val="20"/>
          <w:rtl w:val="0"/>
        </w:rPr>
        <w:t xml:space="preserve">.</w:t>
      </w:r>
      <w:r w:rsidDel="00000000" w:rsidR="00000000" w:rsidRPr="00000000">
        <w:rPr>
          <w:rtl w:val="0"/>
        </w:rPr>
      </w:r>
    </w:p>
    <w:p w:rsidR="00000000" w:rsidDel="00000000" w:rsidP="00000000" w:rsidRDefault="00000000" w:rsidRPr="00000000" w14:paraId="00000026">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7">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Luând în considerare:</w:t>
      </w:r>
    </w:p>
    <w:p w:rsidR="00000000" w:rsidDel="00000000" w:rsidP="00000000" w:rsidRDefault="00000000" w:rsidRPr="00000000" w14:paraId="00000028">
      <w:pPr>
        <w:numPr>
          <w:ilvl w:val="0"/>
          <w:numId w:val="2"/>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necesitatea valorificării rezultatelor Programului cultural național „Timișoara - Capitală Europeană a Culturii în anul 2023”, precum și pentru gestionarea în condiții de eficiență și eficacitate a spațiilor gestionate de Centrul de Proiecte al Municipiului Timișoara,</w:t>
      </w:r>
    </w:p>
    <w:p w:rsidR="00000000" w:rsidDel="00000000" w:rsidP="00000000" w:rsidRDefault="00000000" w:rsidRPr="00000000" w14:paraId="00000029">
      <w:pPr>
        <w:numPr>
          <w:ilvl w:val="0"/>
          <w:numId w:val="2"/>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acordul Primarului Municipiului Timișoara la solicitarea directorului Centrului de Proiecte a Municipiului Timișoara, înregistrată sub nr. 973/05.12.2023, privind necesitatea suplimentării numărului total de posturi prin transferul a trei posturi contractuale de execuție,</w:t>
      </w:r>
    </w:p>
    <w:p w:rsidR="00000000" w:rsidDel="00000000" w:rsidP="00000000" w:rsidRDefault="00000000" w:rsidRPr="00000000" w14:paraId="0000002A">
      <w:pPr>
        <w:numPr>
          <w:ilvl w:val="0"/>
          <w:numId w:val="2"/>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necesitatea punerii în aplicare a prevederilor Legii nr.296/26.10.2023 privind unele măsuri fiscal-bugetare pentru asigurarea sustenabilităţii financiare a României pe termen lung, se stabilesc o serie de măsuri economico-financiare, cu caracter obligatoriu şi anume: desfiinţarea funcţiei contractuale de şef birou şi a structurii organizatorice care funcţionează ca birou; modificarea normativului minim de personal pentru structura care funcţionează ca serviciu,</w:t>
      </w:r>
    </w:p>
    <w:p w:rsidR="00000000" w:rsidDel="00000000" w:rsidP="00000000" w:rsidRDefault="00000000" w:rsidRPr="00000000" w14:paraId="0000002B">
      <w:pPr>
        <w:spacing w:after="100" w:before="100"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2C">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Se impune redimensionarea structurii care funcționează ca serviciu, redistribuirea atribuțiilor și responsabilităților acestor structuri și relocarea personalului existent astfel încât să se asigure funcționalitatea structurilor organizatorice și realizarea obiectului principal de activitate al instituției. </w:t>
      </w:r>
    </w:p>
    <w:p w:rsidR="00000000" w:rsidDel="00000000" w:rsidP="00000000" w:rsidRDefault="00000000" w:rsidRPr="00000000" w14:paraId="0000002D">
      <w:pPr>
        <w:spacing w:after="100" w:before="100"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2E">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În acest sens, se impune efectuarea tuturor modificărilor ante-menționate până la data de 31.12.2023, asa cum prevede art. XIV alin. (1) din Legea nr. 296/2023.</w:t>
      </w:r>
    </w:p>
    <w:p w:rsidR="00000000" w:rsidDel="00000000" w:rsidP="00000000" w:rsidRDefault="00000000" w:rsidRPr="00000000" w14:paraId="0000002F">
      <w:pPr>
        <w:spacing w:after="100" w:before="100"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30">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Structura organizatorică propusă respectă prevederile Legii nr. 296/26.10.2023 referitoare la desființarea structurii care funcționează ca birou și respectă cerințele privind normativul minim de personal pentru structura care funcționează ca serviciu:</w:t>
      </w:r>
    </w:p>
    <w:p w:rsidR="00000000" w:rsidDel="00000000" w:rsidP="00000000" w:rsidRDefault="00000000" w:rsidRPr="00000000" w14:paraId="00000031">
      <w:pPr>
        <w:numPr>
          <w:ilvl w:val="0"/>
          <w:numId w:val="4"/>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Se desființează postul corespunzător funcției contractuale de conducere de Șef Birou Buget, Finanțe și Achiziții publice și totodată se desființează structura care funcționează ca birou, fiind cuprinsă în Compartimentul Buget, Financiar și Achiziții publice. Postul corespunzător funcției contractuale de șef de birou se desființează și se înființează postul corespunzător funcției contractuale de execuţie de Inspector de specialitate financiar, grad IA, care corespunde studiilor de specialitate şi vechimii în specialitate deținute de persoana care a ocupat funcția de șef birou.</w:t>
      </w:r>
    </w:p>
    <w:p w:rsidR="00000000" w:rsidDel="00000000" w:rsidP="00000000" w:rsidRDefault="00000000" w:rsidRPr="00000000" w14:paraId="00000032">
      <w:pPr>
        <w:numPr>
          <w:ilvl w:val="0"/>
          <w:numId w:val="4"/>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Se redimensionează Serviciul programare și administrare spații, care va avea în componenta sa 11 posturi, din care o funcție contractuală de conducere de șef serviciu și 10 funcții contractuale de execuție, prin adăugarea unui număr de 3 posturi: 1 post distribuit de la Compartimentul comunicare și relații publice și 2 posturi prin transfer de la Primăria Municipiului Timișoara. </w:t>
      </w:r>
    </w:p>
    <w:p w:rsidR="00000000" w:rsidDel="00000000" w:rsidP="00000000" w:rsidRDefault="00000000" w:rsidRPr="00000000" w14:paraId="00000033">
      <w:pPr>
        <w:spacing w:after="100" w:before="100" w:lineRule="auto"/>
        <w:ind w:left="0"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Redistribuirea/reîncadrarea personalului contractual se va face prin decizie a Directorului Centrului de Proiecte al Municipiului Timișoara, după aprobarea Organigramei, a Statului de funcții și a Coeficienților de ierarhizare. </w:t>
      </w:r>
    </w:p>
    <w:p w:rsidR="00000000" w:rsidDel="00000000" w:rsidP="00000000" w:rsidRDefault="00000000" w:rsidRPr="00000000" w14:paraId="00000034">
      <w:pPr>
        <w:spacing w:after="100" w:before="100"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35">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După aplicarea corespunzătoare a prevederilor Legii nr. 296/26.10.2023, numărul total de posturi din cadrul Centrului de Proiecte al Municipiului Timișoara, va fi de 33 din care: 3 funcții contractuale de conducere și 30 funcții contractuale de execuție.</w:t>
      </w:r>
    </w:p>
    <w:p w:rsidR="00000000" w:rsidDel="00000000" w:rsidP="00000000" w:rsidRDefault="00000000" w:rsidRPr="00000000" w14:paraId="00000036">
      <w:pPr>
        <w:spacing w:after="100" w:before="100"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37">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În final, structura organizatorică a CDP va cuprinde 1 serviciu şi 5 compartimente, conform Organigramei și Statului de funcții, cuprinse in anexele 2 - 3. </w:t>
      </w:r>
    </w:p>
    <w:p w:rsidR="00000000" w:rsidDel="00000000" w:rsidP="00000000" w:rsidRDefault="00000000" w:rsidRPr="00000000" w14:paraId="00000038">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9">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A">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Având în vedere prevederile legale expuse în prezentul raport, apreciem ca proiectul de hotărâre privind modificarea și aprobarea Organigramei, a Statului de funcţii, a Coeficienților de ierarhizare şi a Regulamentului de Organizare şi Funcţionare pentru Centrul de Proiecte a Municipiului Timişoara, îndeplinește condițiile pentru a fi supus dezbaterii și aprobării plenului Consiliului Local. </w:t>
      </w:r>
    </w:p>
    <w:p w:rsidR="00000000" w:rsidDel="00000000" w:rsidP="00000000" w:rsidRDefault="00000000" w:rsidRPr="00000000" w14:paraId="0000003B">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C">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D">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DIRECTOR, </w:t>
      </w:r>
    </w:p>
    <w:p w:rsidR="00000000" w:rsidDel="00000000" w:rsidP="00000000" w:rsidRDefault="00000000" w:rsidRPr="00000000" w14:paraId="0000003E">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Alexandra - Maria Rigler</w:t>
      </w:r>
    </w:p>
    <w:p w:rsidR="00000000" w:rsidDel="00000000" w:rsidP="00000000" w:rsidRDefault="00000000" w:rsidRPr="00000000" w14:paraId="0000003F">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0">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1">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2">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COMPARTIMENT JURIDIC ȘI RESURSE UMANE,</w:t>
      </w:r>
    </w:p>
    <w:p w:rsidR="00000000" w:rsidDel="00000000" w:rsidP="00000000" w:rsidRDefault="00000000" w:rsidRPr="00000000" w14:paraId="00000043">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Alina Wyhnalek</w:t>
      </w:r>
    </w:p>
    <w:p w:rsidR="00000000" w:rsidDel="00000000" w:rsidP="00000000" w:rsidRDefault="00000000" w:rsidRPr="00000000" w14:paraId="00000044">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5">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6">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Adriana Cuteanu</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tabs>
        <w:tab w:val="center" w:leader="none" w:pos="4680"/>
        <w:tab w:val="right" w:leader="none" w:pos="9360"/>
      </w:tabs>
      <w:spacing w:line="240" w:lineRule="auto"/>
      <w:ind w:left="0" w:firstLine="0"/>
      <w:rPr/>
    </w:pPr>
    <w:r w:rsidDel="00000000" w:rsidR="00000000" w:rsidRPr="00000000">
      <w:rPr>
        <w:rFonts w:ascii="Inter" w:cs="Inter" w:eastAsia="Inter" w:hAnsi="Inter"/>
        <w:sz w:val="20"/>
        <w:szCs w:val="20"/>
        <w:rtl w:val="0"/>
      </w:rPr>
      <w:t xml:space="preserve">Pagina </w:t>
    </w:r>
    <w:r w:rsidDel="00000000" w:rsidR="00000000" w:rsidRPr="00000000">
      <w:rPr>
        <w:rFonts w:ascii="Inter" w:cs="Inter" w:eastAsia="Inter" w:hAnsi="Inter"/>
        <w:sz w:val="20"/>
        <w:szCs w:val="20"/>
      </w:rPr>
      <w:fldChar w:fldCharType="begin"/>
      <w:instrText xml:space="preserve">PAGE</w:instrText>
      <w:fldChar w:fldCharType="separate"/>
      <w:fldChar w:fldCharType="end"/>
    </w:r>
    <w:r w:rsidDel="00000000" w:rsidR="00000000" w:rsidRPr="00000000">
      <w:rPr>
        <w:rFonts w:ascii="Inter" w:cs="Inter" w:eastAsia="Inter" w:hAnsi="Inter"/>
        <w:sz w:val="20"/>
        <w:szCs w:val="20"/>
        <w:rtl w:val="0"/>
      </w:rPr>
      <w:t xml:space="preserve"> din </w:t>
    </w:r>
    <w:r w:rsidDel="00000000" w:rsidR="00000000" w:rsidRPr="00000000">
      <w:rPr>
        <w:rFonts w:ascii="Inter" w:cs="Inter" w:eastAsia="Inter" w:hAnsi="Inter"/>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spacing w:line="240" w:lineRule="auto"/>
      <w:rPr>
        <w:rFonts w:ascii="Inter" w:cs="Inter" w:eastAsia="Inter" w:hAnsi="Inter"/>
        <w:sz w:val="16"/>
        <w:szCs w:val="16"/>
        <w:highlight w:val="white"/>
      </w:rPr>
    </w:pPr>
    <w:r w:rsidDel="00000000" w:rsidR="00000000" w:rsidRPr="00000000">
      <w:rPr>
        <w:rFonts w:ascii="Inter" w:cs="Inter" w:eastAsia="Inter" w:hAnsi="Inter"/>
        <w:b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-9515</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8">
    <w:pPr>
      <w:spacing w:line="276" w:lineRule="auto"/>
      <w:rPr>
        <w:rFonts w:ascii="Inter" w:cs="Inter" w:eastAsia="Inter" w:hAnsi="Inter"/>
        <w:sz w:val="16"/>
        <w:szCs w:val="16"/>
        <w:highlight w:val="white"/>
      </w:rPr>
    </w:pPr>
    <w:r w:rsidDel="00000000" w:rsidR="00000000" w:rsidRPr="00000000">
      <w:rPr>
        <w:rFonts w:ascii="Inter" w:cs="Inter" w:eastAsia="Inter" w:hAnsi="Inter"/>
        <w:sz w:val="16"/>
        <w:szCs w:val="16"/>
        <w:highlight w:val="white"/>
        <w:rtl w:val="0"/>
      </w:rPr>
      <w:t xml:space="preserve">Str. Vasile Alecsandri, nr. 1, SAD 7 | CIF 44202834</w:t>
    </w:r>
  </w:p>
  <w:p w:rsidR="00000000" w:rsidDel="00000000" w:rsidP="00000000" w:rsidRDefault="00000000" w:rsidRPr="00000000" w14:paraId="00000049">
    <w:pPr>
      <w:spacing w:line="276" w:lineRule="auto"/>
      <w:rPr>
        <w:rFonts w:ascii="Inter" w:cs="Inter" w:eastAsia="Inter" w:hAnsi="Inter"/>
        <w:sz w:val="16"/>
        <w:szCs w:val="16"/>
        <w:highlight w:val="white"/>
      </w:rPr>
    </w:pPr>
    <w:r w:rsidDel="00000000" w:rsidR="00000000" w:rsidRPr="00000000">
      <w:rPr>
        <w:rtl w:val="0"/>
      </w:rPr>
    </w:r>
  </w:p>
  <w:p w:rsidR="00000000" w:rsidDel="00000000" w:rsidP="00000000" w:rsidRDefault="00000000" w:rsidRPr="00000000" w14:paraId="0000004A">
    <w:pPr>
      <w:spacing w:line="276" w:lineRule="auto"/>
      <w:rPr>
        <w:rFonts w:ascii="Inter" w:cs="Inter" w:eastAsia="Inter" w:hAnsi="Inter"/>
        <w:sz w:val="16"/>
        <w:szCs w:val="16"/>
        <w:highlight w:val="white"/>
      </w:rPr>
    </w:pPr>
    <w:hyperlink r:id="rId2">
      <w:r w:rsidDel="00000000" w:rsidR="00000000" w:rsidRPr="00000000">
        <w:rPr>
          <w:rFonts w:ascii="Inter" w:cs="Inter" w:eastAsia="Inter" w:hAnsi="Inte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B">
    <w:pPr>
      <w:spacing w:line="276" w:lineRule="auto"/>
      <w:rPr>
        <w:rFonts w:ascii="Inter" w:cs="Inter" w:eastAsia="Inter" w:hAnsi="Inter"/>
        <w:sz w:val="16"/>
        <w:szCs w:val="16"/>
        <w:highlight w:val="white"/>
      </w:rPr>
    </w:pPr>
    <w:hyperlink r:id="rId3">
      <w:r w:rsidDel="00000000" w:rsidR="00000000" w:rsidRPr="00000000">
        <w:rPr>
          <w:rFonts w:ascii="Inter" w:cs="Inter" w:eastAsia="Inter" w:hAnsi="Inte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C">
    <w:pPr>
      <w:spacing w:line="276" w:lineRule="auto"/>
      <w:rPr>
        <w:rFonts w:ascii="Inter" w:cs="Inter" w:eastAsia="Inter" w:hAnsi="Inter"/>
        <w:sz w:val="16"/>
        <w:szCs w:val="16"/>
        <w:highlight w:val="white"/>
      </w:rPr>
    </w:pPr>
    <w:r w:rsidDel="00000000" w:rsidR="00000000" w:rsidRPr="00000000">
      <w:rPr>
        <w:rFonts w:ascii="Inter" w:cs="Inter" w:eastAsia="Inter" w:hAnsi="Inter"/>
        <w:sz w:val="16"/>
        <w:szCs w:val="16"/>
        <w:highlight w:val="white"/>
        <w:rtl w:val="0"/>
      </w:rPr>
      <w:t xml:space="preserve">+40787.287.100</w:t>
    </w:r>
  </w:p>
  <w:p w:rsidR="00000000" w:rsidDel="00000000" w:rsidP="00000000" w:rsidRDefault="00000000" w:rsidRPr="00000000" w14:paraId="0000004D">
    <w:pPr>
      <w:spacing w:line="276" w:lineRule="auto"/>
      <w:ind w:left="-1559.0551181102362" w:firstLine="0"/>
      <w:rPr>
        <w:rFonts w:ascii="Roboto" w:cs="Roboto" w:eastAsia="Roboto" w:hAnsi="Roboto"/>
        <w:b w:val="1"/>
        <w:sz w:val="16"/>
        <w:szCs w:val="16"/>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