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DD" w:rsidRPr="00170A7C" w:rsidRDefault="00BD56DD">
      <w:pPr>
        <w:rPr>
          <w:b/>
        </w:rPr>
      </w:pPr>
      <w:r w:rsidRPr="00170A7C">
        <w:rPr>
          <w:b/>
        </w:rPr>
        <w:t>Societatea de Transport Public Timișoara S.A.</w:t>
      </w:r>
      <w:r w:rsidR="004F7195" w:rsidRPr="00170A7C">
        <w:rPr>
          <w:b/>
        </w:rPr>
        <w:tab/>
      </w:r>
      <w:r w:rsidR="004F7195" w:rsidRPr="00170A7C">
        <w:rPr>
          <w:b/>
        </w:rPr>
        <w:tab/>
      </w:r>
      <w:r w:rsidR="004F7195" w:rsidRPr="00170A7C">
        <w:rPr>
          <w:b/>
        </w:rPr>
        <w:tab/>
      </w:r>
      <w:r w:rsidR="004F7195" w:rsidRPr="00170A7C">
        <w:rPr>
          <w:b/>
        </w:rPr>
        <w:tab/>
      </w:r>
      <w:r w:rsidR="004F7195" w:rsidRPr="00170A7C">
        <w:rPr>
          <w:b/>
        </w:rPr>
        <w:tab/>
      </w:r>
      <w:r w:rsidR="004F7195" w:rsidRPr="00170A7C">
        <w:rPr>
          <w:b/>
        </w:rPr>
        <w:tab/>
      </w:r>
      <w:r w:rsidR="004F7195" w:rsidRPr="00170A7C">
        <w:rPr>
          <w:b/>
        </w:rPr>
        <w:tab/>
      </w:r>
      <w:r w:rsidR="004F7195" w:rsidRPr="00170A7C">
        <w:rPr>
          <w:b/>
        </w:rPr>
        <w:tab/>
      </w:r>
      <w:r w:rsidR="004F7195" w:rsidRPr="00170A7C">
        <w:rPr>
          <w:b/>
        </w:rPr>
        <w:tab/>
      </w:r>
      <w:r w:rsidR="004F7195" w:rsidRPr="00170A7C">
        <w:rPr>
          <w:b/>
        </w:rPr>
        <w:tab/>
      </w:r>
      <w:r w:rsidR="004F7195" w:rsidRPr="00170A7C">
        <w:rPr>
          <w:b/>
        </w:rPr>
        <w:tab/>
      </w:r>
      <w:r w:rsidR="004F7195" w:rsidRPr="00170A7C">
        <w:rPr>
          <w:b/>
        </w:rPr>
        <w:tab/>
      </w:r>
      <w:r w:rsidR="004F7195" w:rsidRPr="00170A7C">
        <w:rPr>
          <w:b/>
        </w:rPr>
        <w:tab/>
        <w:t>Anexa 1</w:t>
      </w:r>
    </w:p>
    <w:tbl>
      <w:tblPr>
        <w:tblStyle w:val="TableGrid"/>
        <w:tblW w:w="0" w:type="auto"/>
        <w:tblLook w:val="04A0"/>
      </w:tblPr>
      <w:tblGrid>
        <w:gridCol w:w="576"/>
        <w:gridCol w:w="2793"/>
        <w:gridCol w:w="3402"/>
        <w:gridCol w:w="992"/>
        <w:gridCol w:w="2268"/>
        <w:gridCol w:w="2268"/>
        <w:gridCol w:w="1921"/>
      </w:tblGrid>
      <w:tr w:rsidR="00137674" w:rsidRPr="001079E7" w:rsidTr="006D79C6">
        <w:trPr>
          <w:trHeight w:val="1835"/>
        </w:trPr>
        <w:tc>
          <w:tcPr>
            <w:tcW w:w="10031" w:type="dxa"/>
            <w:gridSpan w:val="5"/>
            <w:shd w:val="clear" w:color="auto" w:fill="DBE5F1" w:themeFill="accent1" w:themeFillTint="33"/>
          </w:tcPr>
          <w:p w:rsidR="00137674" w:rsidRPr="001079E7" w:rsidRDefault="00137674" w:rsidP="001079E7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INDICATORI DE PERFORMANȚĂ - FINANCIARI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137674" w:rsidRDefault="00137674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Pondere ICP</w:t>
            </w:r>
            <w:r w:rsidR="006D79C6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Administratori neexecutivi</w:t>
            </w:r>
          </w:p>
          <w:p w:rsidR="00137674" w:rsidRPr="00137674" w:rsidRDefault="006D79C6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37674">
              <w:rPr>
                <w:rFonts w:cstheme="minorHAnsi"/>
                <w:b/>
                <w:sz w:val="24"/>
                <w:szCs w:val="24"/>
              </w:rPr>
              <w:t>(Între 5% și 20%)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137674" w:rsidRDefault="00137674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Pondere ICP</w:t>
            </w:r>
            <w:r w:rsidR="006D79C6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Administratori executivi</w:t>
            </w:r>
          </w:p>
          <w:p w:rsidR="00137674" w:rsidRPr="001079E7" w:rsidRDefault="006D79C6" w:rsidP="00A50EDF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37674">
              <w:rPr>
                <w:rFonts w:cstheme="minorHAnsi"/>
                <w:b/>
                <w:sz w:val="24"/>
                <w:szCs w:val="24"/>
              </w:rPr>
              <w:t>(Între 25% și 50%)</w:t>
            </w:r>
          </w:p>
        </w:tc>
      </w:tr>
      <w:tr w:rsidR="006D79C6" w:rsidRPr="001079E7" w:rsidTr="006D79C6">
        <w:trPr>
          <w:trHeight w:val="607"/>
        </w:trPr>
        <w:tc>
          <w:tcPr>
            <w:tcW w:w="576" w:type="dxa"/>
          </w:tcPr>
          <w:p w:rsidR="006D79C6" w:rsidRPr="001079E7" w:rsidRDefault="006D79C6" w:rsidP="001079E7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2793" w:type="dxa"/>
          </w:tcPr>
          <w:p w:rsidR="006D79C6" w:rsidRPr="001079E7" w:rsidRDefault="006D79C6" w:rsidP="001079E7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Indicatori cheie de performantă (ICP)</w:t>
            </w:r>
          </w:p>
        </w:tc>
        <w:tc>
          <w:tcPr>
            <w:tcW w:w="3402" w:type="dxa"/>
          </w:tcPr>
          <w:p w:rsidR="006D79C6" w:rsidRPr="001079E7" w:rsidRDefault="006D79C6" w:rsidP="001079E7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Formula de calcul (ICP)</w:t>
            </w:r>
          </w:p>
        </w:tc>
        <w:tc>
          <w:tcPr>
            <w:tcW w:w="992" w:type="dxa"/>
          </w:tcPr>
          <w:p w:rsidR="006D79C6" w:rsidRPr="001079E7" w:rsidRDefault="006D79C6" w:rsidP="001079E7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Valoare / UM</w:t>
            </w:r>
          </w:p>
        </w:tc>
        <w:tc>
          <w:tcPr>
            <w:tcW w:w="2268" w:type="dxa"/>
          </w:tcPr>
          <w:p w:rsidR="006D79C6" w:rsidRPr="001079E7" w:rsidRDefault="006D79C6" w:rsidP="001079E7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Instrument de verificare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D79C6" w:rsidRDefault="006D79C6" w:rsidP="006D79C6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  <w:p w:rsidR="006D79C6" w:rsidRPr="001079E7" w:rsidRDefault="006D79C6" w:rsidP="006D79C6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20%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6D79C6" w:rsidRDefault="006D79C6" w:rsidP="006D79C6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  <w:p w:rsidR="006D79C6" w:rsidRPr="001079E7" w:rsidRDefault="006D79C6" w:rsidP="006D79C6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40%</w:t>
            </w:r>
          </w:p>
        </w:tc>
      </w:tr>
      <w:tr w:rsidR="003E42DB" w:rsidRPr="001079E7" w:rsidTr="006D79C6">
        <w:tc>
          <w:tcPr>
            <w:tcW w:w="576" w:type="dxa"/>
            <w:vAlign w:val="center"/>
          </w:tcPr>
          <w:p w:rsidR="003E42DB" w:rsidRPr="001079E7" w:rsidRDefault="003E42DB" w:rsidP="003E42DB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3E42DB" w:rsidRPr="001079E7" w:rsidRDefault="003E42DB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Evoluția venituri</w:t>
            </w:r>
            <w:r>
              <w:rPr>
                <w:rFonts w:cstheme="minorHAnsi"/>
                <w:sz w:val="24"/>
                <w:szCs w:val="24"/>
              </w:rPr>
              <w:t xml:space="preserve">lor </w:t>
            </w:r>
            <w:r w:rsidRPr="001079E7">
              <w:rPr>
                <w:rFonts w:cstheme="minorHAnsi"/>
                <w:sz w:val="24"/>
                <w:szCs w:val="24"/>
              </w:rPr>
              <w:t>totale</w:t>
            </w:r>
          </w:p>
        </w:tc>
        <w:tc>
          <w:tcPr>
            <w:tcW w:w="3402" w:type="dxa"/>
            <w:vAlign w:val="center"/>
          </w:tcPr>
          <w:p w:rsidR="003E42DB" w:rsidRPr="001079E7" w:rsidRDefault="003E42DB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Venituri totale (An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A64B3">
              <w:rPr>
                <w:rFonts w:cstheme="minorHAnsi"/>
                <w:sz w:val="24"/>
                <w:szCs w:val="24"/>
                <w:vertAlign w:val="superscript"/>
              </w:rPr>
              <w:t>t</w:t>
            </w:r>
            <w:r w:rsidRPr="001079E7">
              <w:rPr>
                <w:rFonts w:cstheme="minorHAnsi"/>
                <w:sz w:val="24"/>
                <w:szCs w:val="24"/>
              </w:rPr>
              <w:t xml:space="preserve">) / Venituri totale (An </w:t>
            </w:r>
            <w:r w:rsidRPr="006A64B3">
              <w:rPr>
                <w:rFonts w:cstheme="minorHAnsi"/>
                <w:sz w:val="24"/>
                <w:szCs w:val="24"/>
                <w:vertAlign w:val="superscript"/>
              </w:rPr>
              <w:t>t-1</w:t>
            </w:r>
            <w:r w:rsidRPr="001079E7">
              <w:rPr>
                <w:rFonts w:cstheme="minorHAnsi"/>
                <w:sz w:val="24"/>
                <w:szCs w:val="24"/>
              </w:rPr>
              <w:t>) * 100</w:t>
            </w:r>
          </w:p>
        </w:tc>
        <w:tc>
          <w:tcPr>
            <w:tcW w:w="992" w:type="dxa"/>
            <w:vAlign w:val="center"/>
          </w:tcPr>
          <w:p w:rsidR="003E42DB" w:rsidRPr="001079E7" w:rsidRDefault="003E42DB" w:rsidP="003E42DB">
            <w:pPr>
              <w:spacing w:after="12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Min. 6,7%</w:t>
            </w:r>
          </w:p>
        </w:tc>
        <w:tc>
          <w:tcPr>
            <w:tcW w:w="2268" w:type="dxa"/>
            <w:vAlign w:val="center"/>
          </w:tcPr>
          <w:p w:rsidR="003E42DB" w:rsidRPr="001079E7" w:rsidRDefault="003E42DB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Situațiile financiare</w:t>
            </w:r>
            <w:r>
              <w:rPr>
                <w:rFonts w:cstheme="minorHAnsi"/>
                <w:sz w:val="24"/>
                <w:szCs w:val="24"/>
              </w:rPr>
              <w:t xml:space="preserve"> depuse la ANAF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3E42DB" w:rsidRPr="003E42DB" w:rsidRDefault="003E42DB" w:rsidP="003E42DB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2DB">
              <w:rPr>
                <w:rFonts w:cstheme="minorHAnsi"/>
                <w:b/>
                <w:sz w:val="24"/>
                <w:szCs w:val="24"/>
              </w:rPr>
              <w:t>5%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3E42DB" w:rsidRPr="00137674" w:rsidRDefault="003E42DB" w:rsidP="006D79C6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674">
              <w:rPr>
                <w:rFonts w:cstheme="minorHAnsi"/>
                <w:b/>
                <w:sz w:val="24"/>
                <w:szCs w:val="24"/>
              </w:rPr>
              <w:t>1</w:t>
            </w:r>
            <w:r w:rsidR="006D79C6">
              <w:rPr>
                <w:rFonts w:cstheme="minorHAnsi"/>
                <w:b/>
                <w:sz w:val="24"/>
                <w:szCs w:val="24"/>
              </w:rPr>
              <w:t>0</w:t>
            </w:r>
            <w:r w:rsidRPr="00137674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6D79C6" w:rsidRPr="001079E7" w:rsidTr="006D79C6">
        <w:tc>
          <w:tcPr>
            <w:tcW w:w="576" w:type="dxa"/>
            <w:vAlign w:val="center"/>
          </w:tcPr>
          <w:p w:rsidR="006D79C6" w:rsidRPr="001079E7" w:rsidRDefault="006D79C6" w:rsidP="003E42DB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Evoluția cheltuielilor totale</w:t>
            </w:r>
          </w:p>
        </w:tc>
        <w:tc>
          <w:tcPr>
            <w:tcW w:w="3402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 xml:space="preserve">Cheltuieli totale (An </w:t>
            </w:r>
            <w:r w:rsidRPr="006A64B3">
              <w:rPr>
                <w:rFonts w:cstheme="minorHAnsi"/>
                <w:sz w:val="24"/>
                <w:szCs w:val="24"/>
                <w:vertAlign w:val="superscript"/>
              </w:rPr>
              <w:t>t</w:t>
            </w:r>
            <w:r w:rsidRPr="001079E7">
              <w:rPr>
                <w:rFonts w:cstheme="minorHAnsi"/>
                <w:sz w:val="24"/>
                <w:szCs w:val="24"/>
              </w:rPr>
              <w:t xml:space="preserve">) / (Cheltuieli totale) (an </w:t>
            </w:r>
            <w:r w:rsidRPr="006A64B3">
              <w:rPr>
                <w:rFonts w:cstheme="minorHAnsi"/>
                <w:sz w:val="24"/>
                <w:szCs w:val="24"/>
                <w:vertAlign w:val="superscript"/>
              </w:rPr>
              <w:t>t-1</w:t>
            </w:r>
            <w:r w:rsidRPr="001079E7">
              <w:rPr>
                <w:rFonts w:cstheme="minorHAnsi"/>
                <w:sz w:val="24"/>
                <w:szCs w:val="24"/>
              </w:rPr>
              <w:t>) * 100</w:t>
            </w:r>
          </w:p>
        </w:tc>
        <w:tc>
          <w:tcPr>
            <w:tcW w:w="992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Max. 4,5%</w:t>
            </w:r>
          </w:p>
        </w:tc>
        <w:tc>
          <w:tcPr>
            <w:tcW w:w="2268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Situațiile financiare</w:t>
            </w:r>
            <w:r>
              <w:rPr>
                <w:rFonts w:cstheme="minorHAnsi"/>
                <w:sz w:val="24"/>
                <w:szCs w:val="24"/>
              </w:rPr>
              <w:t xml:space="preserve"> depuse la ANAF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D79C6" w:rsidRPr="003E42DB" w:rsidRDefault="006D79C6" w:rsidP="003E42DB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2DB">
              <w:rPr>
                <w:rFonts w:cstheme="minorHAnsi"/>
                <w:b/>
                <w:sz w:val="24"/>
                <w:szCs w:val="24"/>
              </w:rPr>
              <w:t>5%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6D79C6" w:rsidRPr="00137674" w:rsidRDefault="006D79C6" w:rsidP="00D318A0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674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Pr="00137674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6D79C6" w:rsidRPr="001079E7" w:rsidTr="006D79C6">
        <w:tc>
          <w:tcPr>
            <w:tcW w:w="576" w:type="dxa"/>
            <w:vAlign w:val="center"/>
          </w:tcPr>
          <w:p w:rsidR="006D79C6" w:rsidRPr="001079E7" w:rsidRDefault="006D79C6" w:rsidP="003E42DB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Grad de îndatorare</w:t>
            </w:r>
          </w:p>
        </w:tc>
        <w:tc>
          <w:tcPr>
            <w:tcW w:w="3402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450E88">
              <w:rPr>
                <w:rFonts w:cstheme="minorHAnsi"/>
                <w:sz w:val="24"/>
                <w:szCs w:val="24"/>
              </w:rPr>
              <w:t>Datorii totale/Pasive totale</w:t>
            </w:r>
          </w:p>
        </w:tc>
        <w:tc>
          <w:tcPr>
            <w:tcW w:w="992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Max</w:t>
            </w:r>
            <w:r w:rsidRPr="001079E7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1079E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Situațiile financiare</w:t>
            </w:r>
            <w:r>
              <w:rPr>
                <w:rFonts w:cstheme="minorHAnsi"/>
                <w:sz w:val="24"/>
                <w:szCs w:val="24"/>
              </w:rPr>
              <w:t xml:space="preserve"> depuse la ANAF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D79C6" w:rsidRPr="003E42DB" w:rsidRDefault="006D79C6" w:rsidP="003E42DB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2DB">
              <w:rPr>
                <w:rFonts w:cstheme="minorHAnsi"/>
                <w:b/>
                <w:sz w:val="24"/>
                <w:szCs w:val="24"/>
              </w:rPr>
              <w:t>5%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6D79C6" w:rsidRPr="00137674" w:rsidRDefault="006D79C6" w:rsidP="00D318A0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674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Pr="00137674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6D79C6" w:rsidRPr="001079E7" w:rsidTr="006D79C6">
        <w:trPr>
          <w:trHeight w:val="51"/>
        </w:trPr>
        <w:tc>
          <w:tcPr>
            <w:tcW w:w="576" w:type="dxa"/>
            <w:vAlign w:val="center"/>
          </w:tcPr>
          <w:p w:rsidR="006D79C6" w:rsidRPr="001079E7" w:rsidRDefault="006D79C6" w:rsidP="003E42DB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Realizarea veniturilor totale prevăzute și aprobate în Bugetul de Venituri și Cheltuieli</w:t>
            </w:r>
          </w:p>
        </w:tc>
        <w:tc>
          <w:tcPr>
            <w:tcW w:w="3402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(Venituri totale realizate / Venituri totale aprobate în BVC) * 100</w:t>
            </w:r>
          </w:p>
        </w:tc>
        <w:tc>
          <w:tcPr>
            <w:tcW w:w="992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Min. 9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1079E7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6D79C6" w:rsidRPr="001079E7" w:rsidRDefault="006D79C6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Balanța lunară</w:t>
            </w:r>
            <w:r w:rsidRPr="001079E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079E7">
              <w:rPr>
                <w:rFonts w:cstheme="minorHAnsi"/>
                <w:sz w:val="24"/>
                <w:szCs w:val="24"/>
              </w:rPr>
              <w:t>Bilanț semestrial și anual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D79C6" w:rsidRPr="003E42DB" w:rsidRDefault="006D79C6" w:rsidP="003E42DB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2DB">
              <w:rPr>
                <w:rFonts w:cstheme="minorHAnsi"/>
                <w:b/>
                <w:sz w:val="24"/>
                <w:szCs w:val="24"/>
              </w:rPr>
              <w:t>5%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6D79C6" w:rsidRPr="00137674" w:rsidRDefault="006D79C6" w:rsidP="00D318A0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674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Pr="00137674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</w:tbl>
    <w:p w:rsidR="00610E72" w:rsidRDefault="00610E72">
      <w:r>
        <w:lastRenderedPageBreak/>
        <w:br w:type="page"/>
      </w:r>
    </w:p>
    <w:p w:rsidR="00137674" w:rsidRDefault="00137674"/>
    <w:tbl>
      <w:tblPr>
        <w:tblStyle w:val="TableGrid"/>
        <w:tblW w:w="0" w:type="auto"/>
        <w:tblLook w:val="04A0"/>
      </w:tblPr>
      <w:tblGrid>
        <w:gridCol w:w="576"/>
        <w:gridCol w:w="2793"/>
        <w:gridCol w:w="3402"/>
        <w:gridCol w:w="992"/>
        <w:gridCol w:w="2268"/>
        <w:gridCol w:w="2268"/>
        <w:gridCol w:w="1921"/>
      </w:tblGrid>
      <w:tr w:rsidR="00137674" w:rsidRPr="001079E7" w:rsidTr="006D79C6">
        <w:tc>
          <w:tcPr>
            <w:tcW w:w="10031" w:type="dxa"/>
            <w:gridSpan w:val="5"/>
            <w:shd w:val="clear" w:color="auto" w:fill="DBE5F1" w:themeFill="accent1" w:themeFillTint="33"/>
          </w:tcPr>
          <w:p w:rsidR="00137674" w:rsidRPr="001079E7" w:rsidRDefault="00137674" w:rsidP="00450E88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 xml:space="preserve">INDICATORI DE PERFORMANȚĂ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1079E7">
              <w:rPr>
                <w:rFonts w:cstheme="minorHAnsi"/>
                <w:b/>
                <w:sz w:val="24"/>
                <w:szCs w:val="24"/>
              </w:rPr>
              <w:t xml:space="preserve"> NEFINANCIARI</w:t>
            </w:r>
            <w:r>
              <w:rPr>
                <w:rFonts w:cstheme="minorHAnsi"/>
                <w:b/>
                <w:sz w:val="24"/>
                <w:szCs w:val="24"/>
              </w:rPr>
              <w:t xml:space="preserve"> OPERAȚIONALI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3E42DB" w:rsidRDefault="003E42DB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Pondere ICP</w:t>
            </w:r>
          </w:p>
          <w:p w:rsidR="003E42DB" w:rsidRDefault="003E42DB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Administratori neexecutivi</w:t>
            </w:r>
          </w:p>
          <w:p w:rsidR="00137674" w:rsidRPr="001079E7" w:rsidRDefault="003E42DB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(Între 5% și 20%)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3E42DB" w:rsidRDefault="003E42DB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Pondere ICP</w:t>
            </w:r>
          </w:p>
          <w:p w:rsidR="003E42DB" w:rsidRDefault="003E42DB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Administratori neexecutivi</w:t>
            </w:r>
          </w:p>
          <w:p w:rsidR="00137674" w:rsidRPr="001079E7" w:rsidRDefault="003E42DB" w:rsidP="00A50EDF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(Între 10% și 25%)</w:t>
            </w:r>
          </w:p>
        </w:tc>
      </w:tr>
      <w:tr w:rsidR="006D79C6" w:rsidRPr="001079E7" w:rsidTr="00721C49">
        <w:tc>
          <w:tcPr>
            <w:tcW w:w="576" w:type="dxa"/>
          </w:tcPr>
          <w:p w:rsidR="006D79C6" w:rsidRPr="001079E7" w:rsidRDefault="006D79C6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2793" w:type="dxa"/>
          </w:tcPr>
          <w:p w:rsidR="006D79C6" w:rsidRPr="001079E7" w:rsidRDefault="006D79C6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Indicatori cheie de performantă (ICP)</w:t>
            </w:r>
          </w:p>
        </w:tc>
        <w:tc>
          <w:tcPr>
            <w:tcW w:w="3402" w:type="dxa"/>
          </w:tcPr>
          <w:p w:rsidR="006D79C6" w:rsidRPr="001079E7" w:rsidRDefault="006D79C6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Formula de calcul (ICP)</w:t>
            </w:r>
          </w:p>
        </w:tc>
        <w:tc>
          <w:tcPr>
            <w:tcW w:w="992" w:type="dxa"/>
          </w:tcPr>
          <w:p w:rsidR="006D79C6" w:rsidRPr="001079E7" w:rsidRDefault="006D79C6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Valoare / UM</w:t>
            </w:r>
          </w:p>
        </w:tc>
        <w:tc>
          <w:tcPr>
            <w:tcW w:w="2268" w:type="dxa"/>
          </w:tcPr>
          <w:p w:rsidR="006D79C6" w:rsidRPr="001079E7" w:rsidRDefault="006D79C6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Instrument de verificare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D79C6" w:rsidRDefault="006D79C6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  <w:p w:rsidR="006D79C6" w:rsidRPr="001079E7" w:rsidRDefault="006D79C6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20%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6D79C6" w:rsidRDefault="006D79C6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  <w:p w:rsidR="006D79C6" w:rsidRPr="001079E7" w:rsidRDefault="006D79C6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0%</w:t>
            </w:r>
          </w:p>
        </w:tc>
      </w:tr>
      <w:tr w:rsidR="006D79C6" w:rsidRPr="001079E7" w:rsidTr="00721C49">
        <w:tc>
          <w:tcPr>
            <w:tcW w:w="576" w:type="dxa"/>
            <w:vAlign w:val="center"/>
          </w:tcPr>
          <w:p w:rsidR="003E42DB" w:rsidRPr="001079E7" w:rsidRDefault="003E42DB" w:rsidP="003E42DB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3E42DB" w:rsidRPr="001079E7" w:rsidRDefault="003E42DB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Gradul de atragere a călătorilor</w:t>
            </w:r>
          </w:p>
        </w:tc>
        <w:tc>
          <w:tcPr>
            <w:tcW w:w="3402" w:type="dxa"/>
            <w:vAlign w:val="center"/>
          </w:tcPr>
          <w:p w:rsidR="003E42DB" w:rsidRPr="001079E7" w:rsidRDefault="003E42DB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Ponderea veniturilor din titluri de călătorie </w:t>
            </w:r>
            <w:r>
              <w:rPr>
                <w:rFonts w:cstheme="minorHAnsi"/>
                <w:sz w:val="24"/>
                <w:szCs w:val="24"/>
              </w:rPr>
              <w:t>în</w:t>
            </w:r>
            <w:r>
              <w:rPr>
                <w:rFonts w:cstheme="minorHAnsi"/>
                <w:sz w:val="24"/>
                <w:szCs w:val="24"/>
              </w:rPr>
              <w:t xml:space="preserve"> totalul veniturilor companiei (An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t</w:t>
            </w:r>
            <w:r>
              <w:rPr>
                <w:rFonts w:cstheme="minorHAnsi"/>
                <w:sz w:val="24"/>
                <w:szCs w:val="24"/>
              </w:rPr>
              <w:t xml:space="preserve">) - Ponderea veniturilor din titluri de călătorie </w:t>
            </w:r>
            <w:r>
              <w:rPr>
                <w:rFonts w:cstheme="minorHAnsi"/>
                <w:sz w:val="24"/>
                <w:szCs w:val="24"/>
              </w:rPr>
              <w:t>în</w:t>
            </w:r>
            <w:r>
              <w:rPr>
                <w:rFonts w:cstheme="minorHAnsi"/>
                <w:sz w:val="24"/>
                <w:szCs w:val="24"/>
              </w:rPr>
              <w:t xml:space="preserve"> totalul veniturilor companiei (An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t-1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3E42DB" w:rsidRPr="001079E7" w:rsidRDefault="003E42DB" w:rsidP="003E42DB">
            <w:pPr>
              <w:spacing w:after="12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079E7">
              <w:rPr>
                <w:rFonts w:cstheme="minorHAnsi"/>
                <w:sz w:val="24"/>
                <w:szCs w:val="24"/>
              </w:rPr>
              <w:t>Minim</w:t>
            </w:r>
            <w:r>
              <w:rPr>
                <w:rFonts w:cstheme="minorHAnsi"/>
                <w:sz w:val="24"/>
                <w:szCs w:val="24"/>
              </w:rPr>
              <w:t xml:space="preserve"> 3</w:t>
            </w:r>
            <w:r>
              <w:rPr>
                <w:rFonts w:cstheme="minorHAnsi"/>
                <w:sz w:val="24"/>
                <w:szCs w:val="24"/>
              </w:rPr>
              <w:t>pp</w:t>
            </w:r>
          </w:p>
        </w:tc>
        <w:tc>
          <w:tcPr>
            <w:tcW w:w="2268" w:type="dxa"/>
            <w:vAlign w:val="center"/>
          </w:tcPr>
          <w:p w:rsidR="003E42DB" w:rsidRPr="001079E7" w:rsidRDefault="003E42DB" w:rsidP="003E42DB">
            <w:p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Informare transmisă de către STPT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3E42DB" w:rsidRPr="003E42DB" w:rsidRDefault="003E42DB" w:rsidP="003E42DB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2DB">
              <w:rPr>
                <w:rFonts w:cstheme="minorHAnsi"/>
                <w:b/>
                <w:sz w:val="24"/>
                <w:szCs w:val="24"/>
              </w:rPr>
              <w:t>20%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3E42DB" w:rsidRPr="003E42DB" w:rsidRDefault="003E42DB" w:rsidP="003E42D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2DB">
              <w:rPr>
                <w:rFonts w:cstheme="minorHAnsi"/>
                <w:b/>
                <w:sz w:val="24"/>
                <w:szCs w:val="24"/>
              </w:rPr>
              <w:t>2</w:t>
            </w:r>
            <w:r w:rsidR="006D79C6">
              <w:rPr>
                <w:rFonts w:cstheme="minorHAnsi"/>
                <w:b/>
                <w:sz w:val="24"/>
                <w:szCs w:val="24"/>
              </w:rPr>
              <w:t>0</w:t>
            </w:r>
            <w:r w:rsidRPr="003E42DB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</w:tbl>
    <w:p w:rsidR="00A50EDF" w:rsidRDefault="00A50EDF"/>
    <w:p w:rsidR="00A50EDF" w:rsidRDefault="00A50EDF">
      <w:r>
        <w:br w:type="page"/>
      </w:r>
    </w:p>
    <w:p w:rsidR="00137674" w:rsidRDefault="00137674"/>
    <w:tbl>
      <w:tblPr>
        <w:tblStyle w:val="TableGrid"/>
        <w:tblW w:w="0" w:type="auto"/>
        <w:tblLayout w:type="fixed"/>
        <w:tblLook w:val="04A0"/>
      </w:tblPr>
      <w:tblGrid>
        <w:gridCol w:w="576"/>
        <w:gridCol w:w="2934"/>
        <w:gridCol w:w="3119"/>
        <w:gridCol w:w="992"/>
        <w:gridCol w:w="2371"/>
        <w:gridCol w:w="2307"/>
        <w:gridCol w:w="1921"/>
      </w:tblGrid>
      <w:tr w:rsidR="00A50EDF" w:rsidRPr="001079E7" w:rsidTr="006D79C6">
        <w:tc>
          <w:tcPr>
            <w:tcW w:w="9992" w:type="dxa"/>
            <w:gridSpan w:val="5"/>
            <w:shd w:val="clear" w:color="auto" w:fill="DBE5F1" w:themeFill="accent1" w:themeFillTint="33"/>
          </w:tcPr>
          <w:p w:rsidR="00A50EDF" w:rsidRPr="001079E7" w:rsidRDefault="00A50EDF" w:rsidP="00450E88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 xml:space="preserve">INDICATORI DE PERFORMANȚĂ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1079E7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ORIENTAȚI SPRE SERVICII PUBLICE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:rsidR="00A50EDF" w:rsidRDefault="00A50EDF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Pondere ICP</w:t>
            </w:r>
          </w:p>
          <w:p w:rsidR="00A50EDF" w:rsidRDefault="00A50EDF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Administratori neexecutivi</w:t>
            </w:r>
          </w:p>
          <w:p w:rsidR="00A50EDF" w:rsidRPr="001079E7" w:rsidRDefault="00A50EDF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(Între 5% și 2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%)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A50EDF" w:rsidRDefault="00A50EDF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Pondere ICP</w:t>
            </w:r>
          </w:p>
          <w:p w:rsidR="00A50EDF" w:rsidRDefault="00A50EDF" w:rsidP="00A50EDF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Administratori neexecutivi</w:t>
            </w:r>
          </w:p>
          <w:p w:rsidR="00A50EDF" w:rsidRPr="001079E7" w:rsidRDefault="00A50EDF" w:rsidP="00A50EDF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(Între 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% și 25%)</w:t>
            </w:r>
          </w:p>
        </w:tc>
      </w:tr>
      <w:tr w:rsidR="006D79C6" w:rsidRPr="001079E7" w:rsidTr="00721C49">
        <w:tc>
          <w:tcPr>
            <w:tcW w:w="576" w:type="dxa"/>
          </w:tcPr>
          <w:p w:rsidR="006D79C6" w:rsidRPr="001079E7" w:rsidRDefault="006D79C6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2934" w:type="dxa"/>
          </w:tcPr>
          <w:p w:rsidR="006D79C6" w:rsidRPr="001079E7" w:rsidRDefault="006D79C6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Indicatori cheie de performantă (ICP)</w:t>
            </w:r>
          </w:p>
        </w:tc>
        <w:tc>
          <w:tcPr>
            <w:tcW w:w="3119" w:type="dxa"/>
          </w:tcPr>
          <w:p w:rsidR="006D79C6" w:rsidRPr="001079E7" w:rsidRDefault="006D79C6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Formula de calcul (ICP)</w:t>
            </w:r>
          </w:p>
        </w:tc>
        <w:tc>
          <w:tcPr>
            <w:tcW w:w="992" w:type="dxa"/>
          </w:tcPr>
          <w:p w:rsidR="006D79C6" w:rsidRPr="001079E7" w:rsidRDefault="006D79C6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Valoare / UM</w:t>
            </w:r>
          </w:p>
        </w:tc>
        <w:tc>
          <w:tcPr>
            <w:tcW w:w="2371" w:type="dxa"/>
          </w:tcPr>
          <w:p w:rsidR="006D79C6" w:rsidRPr="001079E7" w:rsidRDefault="006D79C6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Instrument de verificare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:rsidR="006D79C6" w:rsidRDefault="006D79C6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  <w:p w:rsidR="006D79C6" w:rsidRPr="001079E7" w:rsidRDefault="00721C49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6D79C6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6D79C6" w:rsidRDefault="006D79C6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  <w:p w:rsidR="006D79C6" w:rsidRPr="001079E7" w:rsidRDefault="006D79C6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A50EDF" w:rsidRPr="001079E7" w:rsidTr="00721C49">
        <w:tc>
          <w:tcPr>
            <w:tcW w:w="576" w:type="dxa"/>
            <w:vAlign w:val="center"/>
          </w:tcPr>
          <w:p w:rsidR="00A50EDF" w:rsidRPr="001079E7" w:rsidRDefault="00A50EDF" w:rsidP="006D79C6">
            <w:pPr>
              <w:pStyle w:val="ListParagraph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A50EDF" w:rsidRPr="001079E7" w:rsidRDefault="00A50EDF" w:rsidP="00A50EDF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Numărul de curse școlare realizate</w:t>
            </w:r>
          </w:p>
        </w:tc>
        <w:tc>
          <w:tcPr>
            <w:tcW w:w="3119" w:type="dxa"/>
            <w:vAlign w:val="center"/>
          </w:tcPr>
          <w:p w:rsidR="00A50EDF" w:rsidRPr="001079E7" w:rsidRDefault="00A50EDF" w:rsidP="00A50ED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Numărul de curse școlare realizate / numărul de curse școlare prognozate * 100</w:t>
            </w:r>
          </w:p>
        </w:tc>
        <w:tc>
          <w:tcPr>
            <w:tcW w:w="992" w:type="dxa"/>
            <w:vAlign w:val="center"/>
          </w:tcPr>
          <w:p w:rsidR="00A50EDF" w:rsidRDefault="00A50EDF" w:rsidP="00A50ED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Minim 100%</w:t>
            </w:r>
          </w:p>
        </w:tc>
        <w:tc>
          <w:tcPr>
            <w:tcW w:w="2371" w:type="dxa"/>
            <w:vAlign w:val="center"/>
          </w:tcPr>
          <w:p w:rsidR="00A50EDF" w:rsidRDefault="00A50EDF" w:rsidP="00A50ED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Informare transmisă de către STPT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:rsidR="00A50EDF" w:rsidRPr="00A50EDF" w:rsidRDefault="006D79C6" w:rsidP="006D79C6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A50EDF" w:rsidRPr="00A50EDF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A50EDF" w:rsidRPr="00A50EDF" w:rsidRDefault="006D79C6" w:rsidP="006D79C6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12,5</w:t>
            </w:r>
            <w:r w:rsidR="00A50EDF" w:rsidRPr="00A50EDF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6D79C6" w:rsidRPr="001079E7" w:rsidTr="00721C49">
        <w:tc>
          <w:tcPr>
            <w:tcW w:w="576" w:type="dxa"/>
            <w:vAlign w:val="center"/>
          </w:tcPr>
          <w:p w:rsidR="006D79C6" w:rsidRPr="001079E7" w:rsidRDefault="006D79C6" w:rsidP="006D79C6">
            <w:pPr>
              <w:pStyle w:val="ListParagraph"/>
              <w:numPr>
                <w:ilvl w:val="0"/>
                <w:numId w:val="2"/>
              </w:numPr>
              <w:spacing w:line="360" w:lineRule="auto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6D79C6" w:rsidRPr="00A50EDF" w:rsidRDefault="006D79C6" w:rsidP="00A50EDF">
            <w:pPr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50EDF">
              <w:rPr>
                <w:rFonts w:cstheme="minorHAnsi"/>
                <w:b/>
                <w:color w:val="000000"/>
                <w:sz w:val="24"/>
                <w:szCs w:val="24"/>
              </w:rPr>
              <w:t xml:space="preserve">Calitatea serviciilor prestate. </w:t>
            </w:r>
          </w:p>
          <w:p w:rsidR="006D79C6" w:rsidRPr="001079E7" w:rsidRDefault="006D79C6" w:rsidP="00A50EDF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Sondarea opiniei călătorilor privind gradul de satisfacție vizavi de: curățenia din mijloacele de transport, frecvența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mijloacelor de transport, gradul de confort din mijloacele de </w:t>
            </w: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transport</w:t>
            </w:r>
          </w:p>
        </w:tc>
        <w:tc>
          <w:tcPr>
            <w:tcW w:w="3119" w:type="dxa"/>
            <w:vAlign w:val="center"/>
          </w:tcPr>
          <w:p w:rsidR="006D79C6" w:rsidRDefault="006D79C6" w:rsidP="00A50ED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Număr de chestionare efectuate pentru persoane identificabile.</w:t>
            </w:r>
          </w:p>
          <w:p w:rsidR="006D79C6" w:rsidRPr="001079E7" w:rsidRDefault="006D79C6" w:rsidP="00A50ED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Începând cu anul</w:t>
            </w:r>
            <w:r w:rsidRPr="00A50EDF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A50EDF">
              <w:rPr>
                <w:rFonts w:cstheme="minorHAnsi"/>
                <w:sz w:val="24"/>
                <w:szCs w:val="24"/>
                <w:vertAlign w:val="superscript"/>
              </w:rPr>
              <w:t>t+1</w:t>
            </w:r>
            <w:r>
              <w:rPr>
                <w:rFonts w:cstheme="minorHAnsi"/>
                <w:sz w:val="24"/>
                <w:szCs w:val="24"/>
              </w:rPr>
              <w:t xml:space="preserve"> creșterea anuală a gradului de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satisfacție</w:t>
            </w:r>
          </w:p>
        </w:tc>
        <w:tc>
          <w:tcPr>
            <w:tcW w:w="992" w:type="dxa"/>
            <w:vAlign w:val="center"/>
          </w:tcPr>
          <w:p w:rsidR="006D79C6" w:rsidRDefault="006D79C6" w:rsidP="00A50ED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Minim 300</w:t>
            </w:r>
            <w:r>
              <w:rPr>
                <w:rFonts w:cstheme="minorHAnsi"/>
                <w:sz w:val="24"/>
                <w:szCs w:val="24"/>
              </w:rPr>
              <w:t xml:space="preserve"> persoane chestionate</w:t>
            </w:r>
            <w:r>
              <w:rPr>
                <w:rFonts w:cstheme="minorHAnsi"/>
                <w:sz w:val="24"/>
                <w:szCs w:val="24"/>
              </w:rPr>
              <w:t xml:space="preserve"> trimestrial</w:t>
            </w:r>
          </w:p>
          <w:p w:rsidR="006D79C6" w:rsidRDefault="006D79C6" w:rsidP="00A50ED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6D79C6" w:rsidRDefault="006D79C6" w:rsidP="00A50ED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Începând cu anul </w:t>
            </w:r>
            <w:r w:rsidRPr="00A50EDF">
              <w:rPr>
                <w:rFonts w:cstheme="minorHAnsi"/>
                <w:sz w:val="24"/>
                <w:szCs w:val="24"/>
                <w:vertAlign w:val="superscript"/>
              </w:rPr>
              <w:t>t+1</w:t>
            </w:r>
            <w:r>
              <w:rPr>
                <w:rFonts w:cstheme="minorHAnsi"/>
                <w:sz w:val="24"/>
                <w:szCs w:val="24"/>
              </w:rPr>
              <w:t>, minim 1%</w:t>
            </w:r>
          </w:p>
        </w:tc>
        <w:tc>
          <w:tcPr>
            <w:tcW w:w="2371" w:type="dxa"/>
            <w:vAlign w:val="center"/>
          </w:tcPr>
          <w:p w:rsidR="006D79C6" w:rsidRDefault="006D79C6" w:rsidP="00A50ED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Informare transmisă de către STPT</w:t>
            </w:r>
          </w:p>
        </w:tc>
        <w:tc>
          <w:tcPr>
            <w:tcW w:w="2307" w:type="dxa"/>
            <w:shd w:val="clear" w:color="auto" w:fill="DBE5F1" w:themeFill="accent1" w:themeFillTint="33"/>
            <w:vAlign w:val="center"/>
          </w:tcPr>
          <w:p w:rsidR="006D79C6" w:rsidRPr="00A50EDF" w:rsidRDefault="006D79C6" w:rsidP="006D79C6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A50EDF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6D79C6" w:rsidRPr="00A50EDF" w:rsidRDefault="006D79C6" w:rsidP="00D318A0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12,5</w:t>
            </w:r>
            <w:r w:rsidRPr="00A50EDF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</w:tbl>
    <w:p w:rsidR="003E42DB" w:rsidRDefault="003E42DB"/>
    <w:p w:rsidR="003E42DB" w:rsidRDefault="003E42DB"/>
    <w:tbl>
      <w:tblPr>
        <w:tblStyle w:val="TableGrid"/>
        <w:tblW w:w="0" w:type="auto"/>
        <w:tblLook w:val="04A0"/>
      </w:tblPr>
      <w:tblGrid>
        <w:gridCol w:w="576"/>
        <w:gridCol w:w="2934"/>
        <w:gridCol w:w="3119"/>
        <w:gridCol w:w="992"/>
        <w:gridCol w:w="2410"/>
        <w:gridCol w:w="2289"/>
        <w:gridCol w:w="1900"/>
      </w:tblGrid>
      <w:tr w:rsidR="00A50EDF" w:rsidRPr="001079E7" w:rsidTr="00721C49">
        <w:tc>
          <w:tcPr>
            <w:tcW w:w="10031" w:type="dxa"/>
            <w:gridSpan w:val="5"/>
            <w:shd w:val="clear" w:color="auto" w:fill="DBE5F1" w:themeFill="accent1" w:themeFillTint="33"/>
          </w:tcPr>
          <w:p w:rsidR="00A50EDF" w:rsidRPr="001079E7" w:rsidRDefault="00A50EDF" w:rsidP="00BA1E17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 xml:space="preserve">INDICATORI DE PERFORMANȚĂ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1079E7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GUVERNANȚĂ CORPORATIVĂ</w:t>
            </w:r>
          </w:p>
        </w:tc>
        <w:tc>
          <w:tcPr>
            <w:tcW w:w="2289" w:type="dxa"/>
            <w:shd w:val="clear" w:color="auto" w:fill="DBE5F1" w:themeFill="accent1" w:themeFillTint="33"/>
          </w:tcPr>
          <w:p w:rsidR="00A50EDF" w:rsidRDefault="00A50EDF" w:rsidP="00A50EDF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Pondere ICP</w:t>
            </w:r>
          </w:p>
          <w:p w:rsidR="00A50EDF" w:rsidRDefault="00A50EDF" w:rsidP="00A50EDF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Administratori neexecutivi</w:t>
            </w:r>
          </w:p>
          <w:p w:rsidR="00A50EDF" w:rsidRPr="001079E7" w:rsidRDefault="00A50EDF" w:rsidP="00A50EDF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(Între 5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 xml:space="preserve">% și </w:t>
            </w:r>
            <w:r>
              <w:rPr>
                <w:rFonts w:cstheme="minorHAnsi"/>
                <w:b/>
                <w:sz w:val="24"/>
                <w:szCs w:val="24"/>
              </w:rPr>
              <w:t>75</w:t>
            </w:r>
            <w:r>
              <w:rPr>
                <w:rFonts w:cstheme="minorHAnsi"/>
                <w:b/>
                <w:sz w:val="24"/>
                <w:szCs w:val="24"/>
              </w:rPr>
              <w:t>%)</w:t>
            </w:r>
          </w:p>
        </w:tc>
        <w:tc>
          <w:tcPr>
            <w:tcW w:w="1900" w:type="dxa"/>
            <w:shd w:val="clear" w:color="auto" w:fill="DBE5F1" w:themeFill="accent1" w:themeFillTint="33"/>
          </w:tcPr>
          <w:p w:rsidR="00A50EDF" w:rsidRDefault="00A50EDF" w:rsidP="00A50EDF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Pondere ICP</w:t>
            </w:r>
          </w:p>
          <w:p w:rsidR="00A50EDF" w:rsidRDefault="00A50EDF" w:rsidP="00A50EDF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Administratori neexecutivi</w:t>
            </w:r>
          </w:p>
          <w:p w:rsidR="00A50EDF" w:rsidRDefault="00A50EDF" w:rsidP="00A50EDF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(Între </w:t>
            </w:r>
            <w:r>
              <w:rPr>
                <w:rFonts w:cstheme="minorHAnsi"/>
                <w:b/>
                <w:sz w:val="24"/>
                <w:szCs w:val="24"/>
              </w:rPr>
              <w:t>10</w:t>
            </w:r>
            <w:r>
              <w:rPr>
                <w:rFonts w:cstheme="minorHAnsi"/>
                <w:b/>
                <w:sz w:val="24"/>
                <w:szCs w:val="24"/>
              </w:rPr>
              <w:t>% și 25%)</w:t>
            </w:r>
          </w:p>
        </w:tc>
      </w:tr>
      <w:tr w:rsidR="00721C49" w:rsidRPr="001079E7" w:rsidTr="00721C49">
        <w:tc>
          <w:tcPr>
            <w:tcW w:w="576" w:type="dxa"/>
          </w:tcPr>
          <w:p w:rsidR="00721C49" w:rsidRPr="001079E7" w:rsidRDefault="00721C49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2934" w:type="dxa"/>
          </w:tcPr>
          <w:p w:rsidR="00721C49" w:rsidRPr="001079E7" w:rsidRDefault="00721C49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Indicatori cheie de performantă (ICP)</w:t>
            </w:r>
          </w:p>
        </w:tc>
        <w:tc>
          <w:tcPr>
            <w:tcW w:w="3119" w:type="dxa"/>
          </w:tcPr>
          <w:p w:rsidR="00721C49" w:rsidRPr="001079E7" w:rsidRDefault="00721C49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Formula de calcul (ICP)</w:t>
            </w:r>
          </w:p>
        </w:tc>
        <w:tc>
          <w:tcPr>
            <w:tcW w:w="992" w:type="dxa"/>
          </w:tcPr>
          <w:p w:rsidR="00721C49" w:rsidRPr="001079E7" w:rsidRDefault="00721C49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Valoare / UM</w:t>
            </w:r>
          </w:p>
        </w:tc>
        <w:tc>
          <w:tcPr>
            <w:tcW w:w="2410" w:type="dxa"/>
          </w:tcPr>
          <w:p w:rsidR="00721C49" w:rsidRPr="001079E7" w:rsidRDefault="00721C49" w:rsidP="00D318A0">
            <w:pPr>
              <w:spacing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1079E7">
              <w:rPr>
                <w:rFonts w:cstheme="minorHAnsi"/>
                <w:b/>
                <w:sz w:val="24"/>
                <w:szCs w:val="24"/>
              </w:rPr>
              <w:t>Instrument de verificare</w:t>
            </w:r>
          </w:p>
        </w:tc>
        <w:tc>
          <w:tcPr>
            <w:tcW w:w="2289" w:type="dxa"/>
            <w:shd w:val="clear" w:color="auto" w:fill="DBE5F1" w:themeFill="accent1" w:themeFillTint="33"/>
            <w:vAlign w:val="center"/>
          </w:tcPr>
          <w:p w:rsidR="00721C49" w:rsidRDefault="00721C49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  <w:p w:rsidR="00721C49" w:rsidRPr="001079E7" w:rsidRDefault="00721C49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50</w:t>
            </w:r>
            <w:r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1900" w:type="dxa"/>
            <w:shd w:val="clear" w:color="auto" w:fill="DBE5F1" w:themeFill="accent1" w:themeFillTint="33"/>
            <w:vAlign w:val="center"/>
          </w:tcPr>
          <w:p w:rsidR="00721C49" w:rsidRDefault="00721C49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  <w:p w:rsidR="00721C49" w:rsidRPr="001079E7" w:rsidRDefault="00721C49" w:rsidP="00D318A0">
            <w:pPr>
              <w:spacing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5%</w:t>
            </w:r>
          </w:p>
        </w:tc>
      </w:tr>
      <w:tr w:rsidR="00721C49" w:rsidRPr="001079E7" w:rsidTr="00721C49">
        <w:tc>
          <w:tcPr>
            <w:tcW w:w="576" w:type="dxa"/>
            <w:vAlign w:val="center"/>
          </w:tcPr>
          <w:p w:rsidR="00721C49" w:rsidRPr="001079E7" w:rsidRDefault="00721C49" w:rsidP="00721C49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721C49" w:rsidRPr="001079E7" w:rsidRDefault="00721C49" w:rsidP="00721C49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A1E17">
              <w:rPr>
                <w:rFonts w:cstheme="minorHAnsi"/>
                <w:color w:val="000000"/>
                <w:sz w:val="24"/>
                <w:szCs w:val="24"/>
              </w:rPr>
              <w:t xml:space="preserve">Transparență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 xml:space="preserve">Publicarea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tuturor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informațiilor de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interes public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pe site-ul companiei</w:t>
            </w:r>
          </w:p>
        </w:tc>
        <w:tc>
          <w:tcPr>
            <w:tcW w:w="3119" w:type="dxa"/>
            <w:vAlign w:val="center"/>
          </w:tcPr>
          <w:p w:rsidR="00721C49" w:rsidRPr="00BA1E17" w:rsidRDefault="00721C49" w:rsidP="00721C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A1E17">
              <w:rPr>
                <w:rFonts w:cstheme="minorHAnsi"/>
                <w:sz w:val="24"/>
                <w:szCs w:val="24"/>
              </w:rPr>
              <w:t>Încadrarea în termenele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legale de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raportare și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comunicare către AGA</w:t>
            </w:r>
          </w:p>
          <w:p w:rsidR="00721C49" w:rsidRPr="001079E7" w:rsidRDefault="00721C49" w:rsidP="00721C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A1E17">
              <w:rPr>
                <w:rFonts w:cstheme="minorHAnsi"/>
                <w:sz w:val="24"/>
                <w:szCs w:val="24"/>
              </w:rPr>
              <w:t>și publicarea pe site-ul societății</w:t>
            </w:r>
          </w:p>
        </w:tc>
        <w:tc>
          <w:tcPr>
            <w:tcW w:w="992" w:type="dxa"/>
            <w:vAlign w:val="center"/>
          </w:tcPr>
          <w:p w:rsidR="00721C49" w:rsidRPr="001079E7" w:rsidRDefault="00721C49" w:rsidP="00721C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2410" w:type="dxa"/>
            <w:vAlign w:val="center"/>
          </w:tcPr>
          <w:p w:rsidR="00721C49" w:rsidRPr="00BA1E17" w:rsidRDefault="00721C49" w:rsidP="00721C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A1E17">
              <w:rPr>
                <w:rFonts w:cstheme="minorHAnsi"/>
                <w:sz w:val="24"/>
                <w:szCs w:val="24"/>
              </w:rPr>
              <w:t>Vor fi publicate pe site-ul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societății următoarele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documente:</w:t>
            </w:r>
          </w:p>
          <w:p w:rsidR="00721C49" w:rsidRPr="00BA1E17" w:rsidRDefault="00721C49" w:rsidP="00721C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Pr="00BA1E17">
              <w:rPr>
                <w:rFonts w:cstheme="minorHAnsi"/>
                <w:sz w:val="24"/>
                <w:szCs w:val="24"/>
              </w:rPr>
              <w:t xml:space="preserve">Conform art. 58 alin </w:t>
            </w:r>
            <w:r w:rsidRPr="00BA1E17">
              <w:rPr>
                <w:rFonts w:cstheme="minorHAnsi"/>
                <w:sz w:val="24"/>
                <w:szCs w:val="24"/>
              </w:rPr>
              <w:lastRenderedPageBreak/>
              <w:t>1 din OUG nr. 109/2011;</w:t>
            </w:r>
          </w:p>
          <w:p w:rsidR="00721C49" w:rsidRPr="00BA1E17" w:rsidRDefault="00721C49" w:rsidP="00721C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A1E17">
              <w:rPr>
                <w:rFonts w:cstheme="minorHAnsi"/>
                <w:sz w:val="24"/>
                <w:szCs w:val="24"/>
              </w:rPr>
              <w:t>2. Anexa nr. 5 din HG nr.</w:t>
            </w:r>
          </w:p>
          <w:p w:rsidR="00721C49" w:rsidRPr="00BA1E17" w:rsidRDefault="00721C49" w:rsidP="00721C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583/2016, î</w:t>
            </w:r>
            <w:r w:rsidRPr="00BA1E17">
              <w:rPr>
                <w:rFonts w:cstheme="minorHAnsi"/>
                <w:sz w:val="24"/>
                <w:szCs w:val="24"/>
              </w:rPr>
              <w:t>n completarea</w:t>
            </w:r>
          </w:p>
          <w:p w:rsidR="00721C49" w:rsidRPr="00BA1E17" w:rsidRDefault="00721C49" w:rsidP="00721C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standardului de afiș</w:t>
            </w:r>
            <w:r w:rsidRPr="00BA1E17">
              <w:rPr>
                <w:rFonts w:cstheme="minorHAnsi"/>
                <w:sz w:val="24"/>
                <w:szCs w:val="24"/>
              </w:rPr>
              <w:t>are a</w:t>
            </w:r>
          </w:p>
          <w:p w:rsidR="00721C49" w:rsidRPr="00BA1E17" w:rsidRDefault="00721C49" w:rsidP="00721C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A1E17">
              <w:rPr>
                <w:rFonts w:cstheme="minorHAnsi"/>
                <w:sz w:val="24"/>
                <w:szCs w:val="24"/>
              </w:rPr>
              <w:t>informațiilor de interes</w:t>
            </w:r>
          </w:p>
          <w:p w:rsidR="00721C49" w:rsidRPr="00BA1E17" w:rsidRDefault="00721C49" w:rsidP="00721C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A1E17">
              <w:rPr>
                <w:rFonts w:cstheme="minorHAnsi"/>
                <w:sz w:val="24"/>
                <w:szCs w:val="24"/>
              </w:rPr>
              <w:t>public conform Anexei nr.</w:t>
            </w:r>
          </w:p>
          <w:p w:rsidR="00721C49" w:rsidRDefault="00721C49" w:rsidP="00721C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A1E17">
              <w:rPr>
                <w:rFonts w:cstheme="minorHAnsi"/>
                <w:sz w:val="24"/>
                <w:szCs w:val="24"/>
              </w:rPr>
              <w:t>4 din HG 583/2016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89" w:type="dxa"/>
            <w:shd w:val="clear" w:color="auto" w:fill="DBE5F1" w:themeFill="accent1" w:themeFillTint="33"/>
            <w:vAlign w:val="center"/>
          </w:tcPr>
          <w:p w:rsidR="00721C49" w:rsidRPr="00721C49" w:rsidRDefault="00721C49" w:rsidP="00721C4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C49">
              <w:rPr>
                <w:rFonts w:cstheme="minorHAnsi"/>
                <w:b/>
                <w:sz w:val="24"/>
                <w:szCs w:val="24"/>
              </w:rPr>
              <w:lastRenderedPageBreak/>
              <w:t>15</w:t>
            </w:r>
            <w:r w:rsidRPr="00721C49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1900" w:type="dxa"/>
            <w:shd w:val="clear" w:color="auto" w:fill="DBE5F1" w:themeFill="accent1" w:themeFillTint="33"/>
            <w:vAlign w:val="center"/>
          </w:tcPr>
          <w:p w:rsidR="00721C49" w:rsidRPr="00721C49" w:rsidRDefault="00721C49" w:rsidP="00721C4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C49">
              <w:rPr>
                <w:rFonts w:cstheme="minorHAnsi"/>
                <w:b/>
                <w:sz w:val="24"/>
                <w:szCs w:val="24"/>
              </w:rPr>
              <w:t>5%</w:t>
            </w:r>
          </w:p>
        </w:tc>
      </w:tr>
      <w:tr w:rsidR="00721C49" w:rsidRPr="001079E7" w:rsidTr="00721C49">
        <w:tc>
          <w:tcPr>
            <w:tcW w:w="576" w:type="dxa"/>
            <w:vAlign w:val="center"/>
          </w:tcPr>
          <w:p w:rsidR="00A50EDF" w:rsidRPr="001079E7" w:rsidRDefault="00A50EDF" w:rsidP="00721C49">
            <w:pPr>
              <w:pStyle w:val="ListParagraph"/>
              <w:numPr>
                <w:ilvl w:val="0"/>
                <w:numId w:val="5"/>
              </w:numPr>
              <w:spacing w:line="360" w:lineRule="auto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A50EDF" w:rsidRPr="00BA1E17" w:rsidRDefault="00A50EDF" w:rsidP="00721C49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Î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mbunătățirea instrumentelor de</w:t>
            </w:r>
          </w:p>
          <w:p w:rsidR="00A50EDF" w:rsidRPr="00BA1E17" w:rsidRDefault="00A50EDF" w:rsidP="00721C49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A1E17">
              <w:rPr>
                <w:rFonts w:cstheme="minorHAnsi"/>
                <w:color w:val="000000"/>
                <w:sz w:val="24"/>
                <w:szCs w:val="24"/>
              </w:rPr>
              <w:t>control privind realizarea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planului de administrare</w:t>
            </w:r>
          </w:p>
        </w:tc>
        <w:tc>
          <w:tcPr>
            <w:tcW w:w="3119" w:type="dxa"/>
            <w:vAlign w:val="center"/>
          </w:tcPr>
          <w:p w:rsidR="00A50EDF" w:rsidRPr="00BA1E17" w:rsidRDefault="00A50EDF" w:rsidP="00721C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1E17">
              <w:rPr>
                <w:rFonts w:cstheme="minorHAnsi"/>
                <w:sz w:val="24"/>
                <w:szCs w:val="24"/>
              </w:rPr>
              <w:t>Rapoarte trimestriale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justificative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trimise către autoritatea tutelară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privind modul de realizare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obiectivelor și indicatorilor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de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performanță (anexă la contractul de</w:t>
            </w:r>
            <w:r>
              <w:rPr>
                <w:rFonts w:cstheme="minorHAnsi"/>
                <w:sz w:val="24"/>
                <w:szCs w:val="24"/>
              </w:rPr>
              <w:t xml:space="preserve"> mandat), </w:t>
            </w:r>
            <w:r>
              <w:rPr>
                <w:rFonts w:cstheme="minorHAnsi"/>
                <w:sz w:val="24"/>
                <w:szCs w:val="24"/>
              </w:rPr>
              <w:lastRenderedPageBreak/>
              <w:t>precum ș</w:t>
            </w:r>
            <w:r w:rsidRPr="00BA1E17">
              <w:rPr>
                <w:rFonts w:cstheme="minorHAnsi"/>
                <w:sz w:val="24"/>
                <w:szCs w:val="24"/>
              </w:rPr>
              <w:t>i modul de</w:t>
            </w:r>
            <w:r>
              <w:rPr>
                <w:rFonts w:cstheme="minorHAnsi"/>
                <w:sz w:val="24"/>
                <w:szCs w:val="24"/>
              </w:rPr>
              <w:t xml:space="preserve"> adresare ș</w:t>
            </w:r>
            <w:r w:rsidRPr="00BA1E17">
              <w:rPr>
                <w:rFonts w:cstheme="minorHAnsi"/>
                <w:sz w:val="24"/>
                <w:szCs w:val="24"/>
              </w:rPr>
              <w:t>i indeplinire a obiectivelor</w:t>
            </w:r>
            <w:r>
              <w:rPr>
                <w:rFonts w:cstheme="minorHAnsi"/>
                <w:sz w:val="24"/>
                <w:szCs w:val="24"/>
              </w:rPr>
              <w:t xml:space="preserve"> din Scrisoarea de așteptări ș</w:t>
            </w:r>
            <w:r w:rsidRPr="00BA1E17">
              <w:rPr>
                <w:rFonts w:cstheme="minorHAnsi"/>
                <w:sz w:val="24"/>
                <w:szCs w:val="24"/>
              </w:rPr>
              <w:t>i Planul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 xml:space="preserve">de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BA1E17">
              <w:rPr>
                <w:rFonts w:cstheme="minorHAnsi"/>
                <w:sz w:val="24"/>
                <w:szCs w:val="24"/>
              </w:rPr>
              <w:t>dministrare</w:t>
            </w:r>
          </w:p>
        </w:tc>
        <w:tc>
          <w:tcPr>
            <w:tcW w:w="992" w:type="dxa"/>
          </w:tcPr>
          <w:p w:rsidR="00A50EDF" w:rsidRDefault="00A50EDF" w:rsidP="002439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2410" w:type="dxa"/>
          </w:tcPr>
          <w:p w:rsidR="00A50EDF" w:rsidRPr="00BA1E17" w:rsidRDefault="00A50EDF" w:rsidP="00BA1E1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A1E17">
              <w:rPr>
                <w:rFonts w:cstheme="minorHAnsi"/>
                <w:sz w:val="24"/>
                <w:szCs w:val="24"/>
              </w:rPr>
              <w:t>Rapoarte trimestriale,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respect</w:t>
            </w:r>
            <w:r>
              <w:rPr>
                <w:rFonts w:cstheme="minorHAnsi"/>
                <w:sz w:val="24"/>
                <w:szCs w:val="24"/>
              </w:rPr>
              <w:t>â</w:t>
            </w:r>
            <w:r w:rsidRPr="00BA1E17">
              <w:rPr>
                <w:rFonts w:cstheme="minorHAnsi"/>
                <w:sz w:val="24"/>
                <w:szCs w:val="24"/>
              </w:rPr>
              <w:t>nd cerin</w:t>
            </w:r>
            <w:r>
              <w:rPr>
                <w:rFonts w:cstheme="minorHAnsi"/>
                <w:sz w:val="24"/>
                <w:szCs w:val="24"/>
              </w:rPr>
              <w:t>ț</w:t>
            </w:r>
            <w:r w:rsidRPr="00BA1E17">
              <w:rPr>
                <w:rFonts w:cstheme="minorHAnsi"/>
                <w:sz w:val="24"/>
                <w:szCs w:val="24"/>
              </w:rPr>
              <w:t>ele</w:t>
            </w:r>
          </w:p>
          <w:p w:rsidR="00A50EDF" w:rsidRPr="00BA1E17" w:rsidRDefault="00A50EDF" w:rsidP="00BA1E1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OUG 109/2011 ș</w:t>
            </w:r>
            <w:r w:rsidRPr="00BA1E17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HG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sz w:val="24"/>
                <w:szCs w:val="24"/>
              </w:rPr>
              <w:t>722/2016</w:t>
            </w:r>
          </w:p>
        </w:tc>
        <w:tc>
          <w:tcPr>
            <w:tcW w:w="2289" w:type="dxa"/>
            <w:shd w:val="clear" w:color="auto" w:fill="DBE5F1" w:themeFill="accent1" w:themeFillTint="33"/>
            <w:vAlign w:val="center"/>
          </w:tcPr>
          <w:p w:rsidR="00A50EDF" w:rsidRPr="00721C49" w:rsidRDefault="00721C49" w:rsidP="00721C4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C49">
              <w:rPr>
                <w:rFonts w:cstheme="minorHAnsi"/>
                <w:b/>
                <w:sz w:val="24"/>
                <w:szCs w:val="24"/>
              </w:rPr>
              <w:t>20</w:t>
            </w:r>
            <w:r w:rsidR="00A50EDF" w:rsidRPr="00721C49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1900" w:type="dxa"/>
            <w:shd w:val="clear" w:color="auto" w:fill="DBE5F1" w:themeFill="accent1" w:themeFillTint="33"/>
            <w:vAlign w:val="center"/>
          </w:tcPr>
          <w:p w:rsidR="00A50EDF" w:rsidRPr="00721C49" w:rsidRDefault="00721C49" w:rsidP="00721C4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C49">
              <w:rPr>
                <w:rFonts w:cstheme="minorHAnsi"/>
                <w:b/>
                <w:sz w:val="24"/>
                <w:szCs w:val="24"/>
              </w:rPr>
              <w:t>5%</w:t>
            </w:r>
          </w:p>
        </w:tc>
      </w:tr>
      <w:tr w:rsidR="00721C49" w:rsidRPr="001079E7" w:rsidTr="00721C49">
        <w:tc>
          <w:tcPr>
            <w:tcW w:w="576" w:type="dxa"/>
            <w:vAlign w:val="center"/>
          </w:tcPr>
          <w:p w:rsidR="00721C49" w:rsidRPr="001079E7" w:rsidRDefault="00721C49" w:rsidP="00721C49">
            <w:pPr>
              <w:pStyle w:val="ListParagraph"/>
              <w:numPr>
                <w:ilvl w:val="0"/>
                <w:numId w:val="5"/>
              </w:numPr>
              <w:spacing w:line="360" w:lineRule="auto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721C49" w:rsidRPr="00BA1E17" w:rsidRDefault="00721C49" w:rsidP="00721C49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A1E17">
              <w:rPr>
                <w:rFonts w:cstheme="minorHAnsi"/>
                <w:color w:val="000000"/>
                <w:sz w:val="24"/>
                <w:szCs w:val="24"/>
              </w:rPr>
              <w:t>Respectarea prevederilor art. 57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alin (1) din OUG nr. 109/2011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privind guvernanța corporativă 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întreprinderilor publice, cu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modificările și completările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ulterioare, consiliul de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administra</w:t>
            </w:r>
            <w:r>
              <w:rPr>
                <w:rFonts w:cstheme="minorHAnsi"/>
                <w:color w:val="000000"/>
                <w:sz w:val="24"/>
                <w:szCs w:val="24"/>
              </w:rPr>
              <w:t>ț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ie sau directorul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general, are obligația să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transmită trimestrial şi ori de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câte ori se solicită și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fundamentări, analize, situa</w:t>
            </w:r>
            <w:r>
              <w:rPr>
                <w:rFonts w:cstheme="minorHAnsi"/>
                <w:color w:val="000000"/>
                <w:sz w:val="24"/>
                <w:szCs w:val="24"/>
              </w:rPr>
              <w:t>ț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ii,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raportări ș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i orice alte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informa</w:t>
            </w:r>
            <w:r>
              <w:rPr>
                <w:rFonts w:cstheme="minorHAnsi"/>
                <w:color w:val="000000"/>
                <w:sz w:val="24"/>
                <w:szCs w:val="24"/>
              </w:rPr>
              <w:t>ț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ii referitoare la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activitatea întreprinderii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publice,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i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 xml:space="preserve">nclusiv rapoarte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lastRenderedPageBreak/>
              <w:t>ale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organelor de control privind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 xml:space="preserve">activitatea </w:t>
            </w:r>
            <w:r>
              <w:rPr>
                <w:rFonts w:cstheme="minorHAnsi"/>
                <w:color w:val="000000"/>
                <w:sz w:val="24"/>
                <w:szCs w:val="24"/>
              </w:rPr>
              <w:t>î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ntreprinderii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publice în formatul ș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i la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A1E17">
              <w:rPr>
                <w:rFonts w:cstheme="minorHAnsi"/>
                <w:color w:val="000000"/>
                <w:sz w:val="24"/>
                <w:szCs w:val="24"/>
              </w:rPr>
              <w:t>termenele stabilite prin ordine</w:t>
            </w:r>
          </w:p>
          <w:p w:rsidR="00721C49" w:rsidRDefault="00721C49" w:rsidP="00721C49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A1E17">
              <w:rPr>
                <w:rFonts w:cstheme="minorHAnsi"/>
                <w:color w:val="000000"/>
                <w:sz w:val="24"/>
                <w:szCs w:val="24"/>
              </w:rPr>
              <w:t>sau circulare ale beneficiarilor</w:t>
            </w:r>
          </w:p>
        </w:tc>
        <w:tc>
          <w:tcPr>
            <w:tcW w:w="3119" w:type="dxa"/>
            <w:vAlign w:val="center"/>
          </w:tcPr>
          <w:p w:rsidR="00721C49" w:rsidRPr="00610E72" w:rsidRDefault="00721C49" w:rsidP="00721C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10E72">
              <w:rPr>
                <w:rFonts w:cstheme="minorHAnsi"/>
                <w:sz w:val="24"/>
                <w:szCs w:val="24"/>
              </w:rPr>
              <w:lastRenderedPageBreak/>
              <w:t>Centralizator documente solicitate</w:t>
            </w:r>
            <w:r>
              <w:rPr>
                <w:rFonts w:cstheme="minorHAnsi"/>
                <w:sz w:val="24"/>
                <w:szCs w:val="24"/>
              </w:rPr>
              <w:t xml:space="preserve"> de că</w:t>
            </w:r>
            <w:r w:rsidRPr="00610E72">
              <w:rPr>
                <w:rFonts w:cstheme="minorHAnsi"/>
                <w:sz w:val="24"/>
                <w:szCs w:val="24"/>
              </w:rPr>
              <w:t>tre</w:t>
            </w:r>
            <w:r>
              <w:rPr>
                <w:rFonts w:cstheme="minorHAnsi"/>
                <w:sz w:val="24"/>
                <w:szCs w:val="24"/>
              </w:rPr>
              <w:t xml:space="preserve"> autoritatea tutelară</w:t>
            </w:r>
            <w:r w:rsidRPr="00610E72">
              <w:rPr>
                <w:rFonts w:cstheme="minorHAnsi"/>
                <w:sz w:val="24"/>
                <w:szCs w:val="24"/>
              </w:rPr>
              <w:t xml:space="preserve"> cu data</w:t>
            </w:r>
          </w:p>
          <w:p w:rsidR="00721C49" w:rsidRPr="00610E72" w:rsidRDefault="00721C49" w:rsidP="00721C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solicitare, data transmitere ș</w:t>
            </w:r>
            <w:r w:rsidRPr="00610E72">
              <w:rPr>
                <w:rFonts w:cstheme="minorHAnsi"/>
                <w:sz w:val="24"/>
                <w:szCs w:val="24"/>
              </w:rPr>
              <w:t>i</w:t>
            </w:r>
          </w:p>
          <w:p w:rsidR="00721C49" w:rsidRPr="00610E72" w:rsidRDefault="00721C49" w:rsidP="00721C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observaț</w:t>
            </w:r>
            <w:r w:rsidRPr="00610E72">
              <w:rPr>
                <w:rFonts w:cstheme="minorHAnsi"/>
                <w:sz w:val="24"/>
                <w:szCs w:val="24"/>
              </w:rPr>
              <w:t>ii privind calitatea</w:t>
            </w:r>
          </w:p>
          <w:p w:rsidR="00721C49" w:rsidRPr="00BA1E17" w:rsidRDefault="00721C49" w:rsidP="00721C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10E72">
              <w:rPr>
                <w:rFonts w:cstheme="minorHAnsi"/>
                <w:sz w:val="24"/>
                <w:szCs w:val="24"/>
              </w:rPr>
              <w:t>informa</w:t>
            </w:r>
            <w:r>
              <w:rPr>
                <w:rFonts w:cstheme="minorHAnsi"/>
                <w:sz w:val="24"/>
                <w:szCs w:val="24"/>
              </w:rPr>
              <w:t>ției transmise (dacă există reveniri de clarificări ș</w:t>
            </w:r>
            <w:r w:rsidRPr="00610E72">
              <w:rPr>
                <w:rFonts w:cstheme="minorHAnsi"/>
                <w:sz w:val="24"/>
                <w:szCs w:val="24"/>
              </w:rPr>
              <w:t>i completari</w:t>
            </w:r>
            <w:r>
              <w:rPr>
                <w:rFonts w:cstheme="minorHAnsi"/>
                <w:sz w:val="24"/>
                <w:szCs w:val="24"/>
              </w:rPr>
              <w:t xml:space="preserve"> substanț</w:t>
            </w:r>
            <w:r w:rsidRPr="00610E72">
              <w:rPr>
                <w:rFonts w:cstheme="minorHAnsi"/>
                <w:sz w:val="24"/>
                <w:szCs w:val="24"/>
              </w:rPr>
              <w:t>iale)</w:t>
            </w:r>
          </w:p>
        </w:tc>
        <w:tc>
          <w:tcPr>
            <w:tcW w:w="992" w:type="dxa"/>
          </w:tcPr>
          <w:p w:rsidR="00721C49" w:rsidRDefault="00721C49" w:rsidP="0024397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:rsidR="00721C49" w:rsidRPr="00BA1E17" w:rsidRDefault="00721C49" w:rsidP="00610E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10E72">
              <w:rPr>
                <w:rFonts w:cstheme="minorHAnsi"/>
                <w:sz w:val="24"/>
                <w:szCs w:val="24"/>
              </w:rPr>
              <w:t>Transmiterea către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0E72">
              <w:rPr>
                <w:rFonts w:cstheme="minorHAnsi"/>
                <w:sz w:val="24"/>
                <w:szCs w:val="24"/>
              </w:rPr>
              <w:t>autoritatea tutelară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0E72">
              <w:rPr>
                <w:rFonts w:cstheme="minorHAnsi"/>
                <w:sz w:val="24"/>
                <w:szCs w:val="24"/>
              </w:rPr>
              <w:t>documentelor solicitate în</w:t>
            </w:r>
            <w:r>
              <w:rPr>
                <w:rFonts w:cstheme="minorHAnsi"/>
                <w:sz w:val="24"/>
                <w:szCs w:val="24"/>
              </w:rPr>
              <w:t xml:space="preserve"> termenul stabilit de că</w:t>
            </w:r>
            <w:r w:rsidRPr="00610E72">
              <w:rPr>
                <w:rFonts w:cstheme="minorHAnsi"/>
                <w:sz w:val="24"/>
                <w:szCs w:val="24"/>
              </w:rPr>
              <w:t>tre</w:t>
            </w:r>
            <w:r>
              <w:rPr>
                <w:rFonts w:cstheme="minorHAnsi"/>
                <w:sz w:val="24"/>
                <w:szCs w:val="24"/>
              </w:rPr>
              <w:t xml:space="preserve"> aceasta și conținând toată informaț</w:t>
            </w:r>
            <w:r w:rsidRPr="00610E72">
              <w:rPr>
                <w:rFonts w:cstheme="minorHAnsi"/>
                <w:sz w:val="24"/>
                <w:szCs w:val="24"/>
              </w:rPr>
              <w:t>ia solicitat</w:t>
            </w:r>
            <w:r>
              <w:rPr>
                <w:rFonts w:cstheme="minorHAnsi"/>
                <w:sz w:val="24"/>
                <w:szCs w:val="24"/>
              </w:rPr>
              <w:t>ă</w:t>
            </w:r>
          </w:p>
        </w:tc>
        <w:tc>
          <w:tcPr>
            <w:tcW w:w="2289" w:type="dxa"/>
            <w:shd w:val="clear" w:color="auto" w:fill="DBE5F1" w:themeFill="accent1" w:themeFillTint="33"/>
            <w:vAlign w:val="center"/>
          </w:tcPr>
          <w:p w:rsidR="00721C49" w:rsidRPr="00721C49" w:rsidRDefault="00721C49" w:rsidP="00721C4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C49">
              <w:rPr>
                <w:rFonts w:cstheme="minorHAnsi"/>
                <w:b/>
                <w:sz w:val="24"/>
                <w:szCs w:val="24"/>
              </w:rPr>
              <w:t>15%</w:t>
            </w:r>
          </w:p>
        </w:tc>
        <w:tc>
          <w:tcPr>
            <w:tcW w:w="1900" w:type="dxa"/>
            <w:shd w:val="clear" w:color="auto" w:fill="DBE5F1" w:themeFill="accent1" w:themeFillTint="33"/>
            <w:vAlign w:val="center"/>
          </w:tcPr>
          <w:p w:rsidR="00721C49" w:rsidRPr="00721C49" w:rsidRDefault="00721C49" w:rsidP="00721C4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C49">
              <w:rPr>
                <w:rFonts w:cstheme="minorHAnsi"/>
                <w:b/>
                <w:sz w:val="24"/>
                <w:szCs w:val="24"/>
              </w:rPr>
              <w:t>5%</w:t>
            </w:r>
          </w:p>
        </w:tc>
      </w:tr>
    </w:tbl>
    <w:p w:rsidR="00BD56DD" w:rsidRDefault="00BD56DD" w:rsidP="003B6EB4">
      <w:pPr>
        <w:rPr>
          <w:b/>
        </w:rPr>
      </w:pPr>
    </w:p>
    <w:p w:rsidR="004F7195" w:rsidRDefault="004F7195" w:rsidP="003B6EB4">
      <w:pPr>
        <w:rPr>
          <w:b/>
        </w:rPr>
      </w:pPr>
    </w:p>
    <w:p w:rsidR="004F7195" w:rsidRDefault="004F7195" w:rsidP="004F7195">
      <w:pPr>
        <w:jc w:val="right"/>
        <w:rPr>
          <w:b/>
        </w:rPr>
      </w:pPr>
      <w:r>
        <w:rPr>
          <w:b/>
        </w:rPr>
        <w:t>Întocmit,</w:t>
      </w:r>
    </w:p>
    <w:p w:rsidR="004F7195" w:rsidRDefault="004F7195" w:rsidP="004F7195">
      <w:pPr>
        <w:jc w:val="right"/>
        <w:rPr>
          <w:b/>
        </w:rPr>
      </w:pPr>
      <w:r>
        <w:rPr>
          <w:b/>
        </w:rPr>
        <w:t>Sașa-Sorin LOVIN</w:t>
      </w:r>
    </w:p>
    <w:p w:rsidR="004F7195" w:rsidRDefault="004F7195" w:rsidP="004F7195">
      <w:pPr>
        <w:jc w:val="right"/>
        <w:rPr>
          <w:b/>
        </w:rPr>
      </w:pPr>
      <w:r w:rsidRPr="004F7195">
        <w:rPr>
          <w:b/>
        </w:rPr>
        <w:t>Consilier superior</w:t>
      </w:r>
    </w:p>
    <w:sectPr w:rsidR="004F7195" w:rsidSect="00BD56D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CC8" w:rsidRDefault="009F5CC8" w:rsidP="00450E88">
      <w:pPr>
        <w:spacing w:after="0" w:line="240" w:lineRule="auto"/>
      </w:pPr>
      <w:r>
        <w:separator/>
      </w:r>
    </w:p>
  </w:endnote>
  <w:endnote w:type="continuationSeparator" w:id="0">
    <w:p w:rsidR="009F5CC8" w:rsidRDefault="009F5CC8" w:rsidP="0045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868297"/>
      <w:docPartObj>
        <w:docPartGallery w:val="Page Numbers (Bottom of Page)"/>
        <w:docPartUnique/>
      </w:docPartObj>
    </w:sdtPr>
    <w:sdtContent>
      <w:p w:rsidR="00450E88" w:rsidRDefault="00232639">
        <w:pPr>
          <w:pStyle w:val="Footer"/>
          <w:jc w:val="right"/>
        </w:pPr>
        <w:fldSimple w:instr=" PAGE   \* MERGEFORMAT ">
          <w:r w:rsidR="00721C49">
            <w:rPr>
              <w:noProof/>
            </w:rPr>
            <w:t>8</w:t>
          </w:r>
        </w:fldSimple>
      </w:p>
    </w:sdtContent>
  </w:sdt>
  <w:p w:rsidR="00450E88" w:rsidRDefault="00450E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CC8" w:rsidRDefault="009F5CC8" w:rsidP="00450E88">
      <w:pPr>
        <w:spacing w:after="0" w:line="240" w:lineRule="auto"/>
      </w:pPr>
      <w:r>
        <w:separator/>
      </w:r>
    </w:p>
  </w:footnote>
  <w:footnote w:type="continuationSeparator" w:id="0">
    <w:p w:rsidR="009F5CC8" w:rsidRDefault="009F5CC8" w:rsidP="0045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8CD"/>
    <w:multiLevelType w:val="hybridMultilevel"/>
    <w:tmpl w:val="126C28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9096B"/>
    <w:multiLevelType w:val="hybridMultilevel"/>
    <w:tmpl w:val="126C284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D2415E"/>
    <w:multiLevelType w:val="hybridMultilevel"/>
    <w:tmpl w:val="8584B6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37A6E"/>
    <w:multiLevelType w:val="hybridMultilevel"/>
    <w:tmpl w:val="126C284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6E3C02"/>
    <w:multiLevelType w:val="hybridMultilevel"/>
    <w:tmpl w:val="126C284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A53C1D"/>
    <w:multiLevelType w:val="hybridMultilevel"/>
    <w:tmpl w:val="126C284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6DD"/>
    <w:rsid w:val="000E1D25"/>
    <w:rsid w:val="00104466"/>
    <w:rsid w:val="001079E7"/>
    <w:rsid w:val="00137674"/>
    <w:rsid w:val="00170A7C"/>
    <w:rsid w:val="00174A05"/>
    <w:rsid w:val="001A46D4"/>
    <w:rsid w:val="00232639"/>
    <w:rsid w:val="002C7D00"/>
    <w:rsid w:val="002D3A63"/>
    <w:rsid w:val="00375F4A"/>
    <w:rsid w:val="003B6EB4"/>
    <w:rsid w:val="003E42DB"/>
    <w:rsid w:val="00450E88"/>
    <w:rsid w:val="00455807"/>
    <w:rsid w:val="004A0B6C"/>
    <w:rsid w:val="004B1051"/>
    <w:rsid w:val="004F7195"/>
    <w:rsid w:val="00610E72"/>
    <w:rsid w:val="006A64B3"/>
    <w:rsid w:val="006D79C6"/>
    <w:rsid w:val="00721C49"/>
    <w:rsid w:val="00811C84"/>
    <w:rsid w:val="008C734F"/>
    <w:rsid w:val="009F5CC8"/>
    <w:rsid w:val="00A50EDF"/>
    <w:rsid w:val="00A74D3C"/>
    <w:rsid w:val="00A95A81"/>
    <w:rsid w:val="00BA1E17"/>
    <w:rsid w:val="00BD56DD"/>
    <w:rsid w:val="00D52107"/>
    <w:rsid w:val="00D9430F"/>
    <w:rsid w:val="00E5321C"/>
    <w:rsid w:val="00F3011C"/>
    <w:rsid w:val="00FD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BD56DD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BD56DD"/>
    <w:pPr>
      <w:widowControl w:val="0"/>
      <w:spacing w:after="0" w:line="264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D5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56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E88"/>
  </w:style>
  <w:style w:type="paragraph" w:styleId="Footer">
    <w:name w:val="footer"/>
    <w:basedOn w:val="Normal"/>
    <w:link w:val="FooterChar"/>
    <w:uiPriority w:val="99"/>
    <w:unhideWhenUsed/>
    <w:rsid w:val="0045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E88"/>
  </w:style>
  <w:style w:type="paragraph" w:styleId="NormalWeb">
    <w:name w:val="Normal (Web)"/>
    <w:basedOn w:val="Normal"/>
    <w:uiPriority w:val="99"/>
    <w:semiHidden/>
    <w:unhideWhenUsed/>
    <w:rsid w:val="0013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693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Sasa.Lovin</dc:creator>
  <cp:lastModifiedBy>Sasa.Lovin</cp:lastModifiedBy>
  <cp:revision>4</cp:revision>
  <cp:lastPrinted>2023-07-24T09:14:00Z</cp:lastPrinted>
  <dcterms:created xsi:type="dcterms:W3CDTF">2023-07-21T07:39:00Z</dcterms:created>
  <dcterms:modified xsi:type="dcterms:W3CDTF">2023-07-24T09:16:00Z</dcterms:modified>
</cp:coreProperties>
</file>