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E5" w:rsidRPr="001D6A4B" w:rsidRDefault="00B302E5" w:rsidP="005E5732">
      <w:pPr>
        <w:jc w:val="both"/>
        <w:rPr>
          <w:b/>
          <w:lang w:val="it-IT"/>
        </w:rPr>
      </w:pPr>
      <w:r w:rsidRPr="001D6A4B">
        <w:rPr>
          <w:b/>
          <w:lang w:val="it-IT"/>
        </w:rPr>
        <w:t>ROMÂNIA</w:t>
      </w:r>
    </w:p>
    <w:p w:rsidR="00B302E5" w:rsidRPr="001D6A4B" w:rsidRDefault="00B302E5" w:rsidP="005E5732">
      <w:pPr>
        <w:jc w:val="both"/>
        <w:rPr>
          <w:b/>
          <w:lang w:val="it-IT"/>
        </w:rPr>
      </w:pPr>
      <w:r w:rsidRPr="001D6A4B">
        <w:rPr>
          <w:b/>
          <w:lang w:val="it-IT"/>
        </w:rPr>
        <w:t>JUDETUL TIMIŞ</w:t>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r w:rsidRPr="001D6A4B">
        <w:rPr>
          <w:b/>
          <w:lang w:val="it-IT"/>
        </w:rPr>
        <w:tab/>
      </w:r>
    </w:p>
    <w:p w:rsidR="00B302E5" w:rsidRPr="001D6A4B" w:rsidRDefault="00B302E5" w:rsidP="005E5732">
      <w:pPr>
        <w:jc w:val="both"/>
        <w:rPr>
          <w:b/>
          <w:lang w:val="it-IT"/>
        </w:rPr>
      </w:pPr>
      <w:r w:rsidRPr="001D6A4B">
        <w:rPr>
          <w:b/>
          <w:lang w:val="it-IT"/>
        </w:rPr>
        <w:t>MUNICIPIUL TIMISOARA</w:t>
      </w:r>
    </w:p>
    <w:p w:rsidR="00B302E5" w:rsidRPr="001D6A4B" w:rsidRDefault="00B302E5" w:rsidP="004526EF">
      <w:pPr>
        <w:jc w:val="both"/>
        <w:rPr>
          <w:b/>
          <w:lang w:val="it-IT"/>
        </w:rPr>
      </w:pPr>
      <w:r w:rsidRPr="001D6A4B">
        <w:rPr>
          <w:b/>
          <w:lang w:val="it-IT"/>
        </w:rPr>
        <w:t>PRIMAR</w:t>
      </w:r>
    </w:p>
    <w:p w:rsidR="00B302E5" w:rsidRPr="00B6313E" w:rsidRDefault="00B302E5" w:rsidP="004526EF">
      <w:pPr>
        <w:jc w:val="both"/>
        <w:rPr>
          <w:b/>
          <w:lang w:val="fr-FR"/>
        </w:rPr>
      </w:pPr>
      <w:r w:rsidRPr="00B6313E">
        <w:rPr>
          <w:lang w:val="fr-FR"/>
        </w:rPr>
        <w:t>Nr.</w:t>
      </w:r>
      <w:r w:rsidR="003C6FE2">
        <w:rPr>
          <w:u w:val="single"/>
          <w:lang w:val="fr-FR"/>
        </w:rPr>
        <w:t xml:space="preserve"> SC2019- 17483 / 11.07.</w:t>
      </w:r>
      <w:r>
        <w:rPr>
          <w:u w:val="single"/>
          <w:lang w:val="fr-FR"/>
        </w:rPr>
        <w:t xml:space="preserve"> </w:t>
      </w:r>
      <w:r w:rsidRPr="00B6313E">
        <w:rPr>
          <w:u w:val="single"/>
          <w:lang w:val="fr-FR"/>
        </w:rPr>
        <w:t>201</w:t>
      </w:r>
      <w:r>
        <w:rPr>
          <w:u w:val="single"/>
          <w:lang w:val="fr-FR"/>
        </w:rPr>
        <w:t>9</w:t>
      </w:r>
      <w:r w:rsidRPr="00B6313E">
        <w:rPr>
          <w:lang w:val="fr-FR"/>
        </w:rPr>
        <w:t xml:space="preserve"> </w:t>
      </w:r>
      <w:r w:rsidRPr="00B6313E">
        <w:rPr>
          <w:b/>
          <w:lang w:val="fr-FR"/>
        </w:rPr>
        <w:t xml:space="preserve">     </w:t>
      </w:r>
    </w:p>
    <w:p w:rsidR="00B302E5" w:rsidRPr="00B6313E" w:rsidRDefault="00B302E5" w:rsidP="004526EF">
      <w:pPr>
        <w:jc w:val="both"/>
        <w:rPr>
          <w:b/>
          <w:lang w:val="fr-FR"/>
        </w:rPr>
      </w:pPr>
      <w:r w:rsidRPr="00B6313E">
        <w:rPr>
          <w:b/>
          <w:lang w:val="fr-FR"/>
        </w:rPr>
        <w:t xml:space="preserve">     </w:t>
      </w:r>
    </w:p>
    <w:p w:rsidR="00B302E5" w:rsidRPr="001D6A4B" w:rsidRDefault="00B302E5" w:rsidP="005E5732">
      <w:pPr>
        <w:spacing w:after="180" w:line="206" w:lineRule="auto"/>
        <w:jc w:val="center"/>
        <w:rPr>
          <w:b/>
          <w:color w:val="000000"/>
          <w:sz w:val="28"/>
          <w:szCs w:val="28"/>
          <w:u w:val="single"/>
          <w:lang w:val="fr-FR"/>
        </w:rPr>
      </w:pPr>
      <w:r w:rsidRPr="001D6A4B">
        <w:rPr>
          <w:b/>
          <w:color w:val="000000"/>
          <w:sz w:val="28"/>
          <w:szCs w:val="28"/>
          <w:u w:val="single"/>
          <w:lang w:val="fr-FR"/>
        </w:rPr>
        <w:t>EXPUNERE DE MOTIVE  PRIVIND OPORTUNITATEA</w:t>
      </w:r>
    </w:p>
    <w:p w:rsidR="00B302E5" w:rsidRPr="001D6A4B" w:rsidRDefault="00B302E5" w:rsidP="005E5732">
      <w:pPr>
        <w:spacing w:after="180" w:line="206" w:lineRule="auto"/>
        <w:jc w:val="center"/>
        <w:rPr>
          <w:b/>
          <w:color w:val="000000"/>
          <w:sz w:val="28"/>
          <w:szCs w:val="28"/>
          <w:u w:val="single"/>
          <w:lang w:val="fr-FR"/>
        </w:rPr>
      </w:pPr>
      <w:r w:rsidRPr="001D6A4B">
        <w:rPr>
          <w:b/>
          <w:color w:val="000000"/>
          <w:sz w:val="28"/>
          <w:szCs w:val="28"/>
          <w:u w:val="single"/>
          <w:lang w:val="fr-FR"/>
        </w:rPr>
        <w:t xml:space="preserve"> PROIECTULUI DE HOTĂRÂRE</w:t>
      </w:r>
    </w:p>
    <w:p w:rsidR="00B302E5" w:rsidRPr="001D6A4B" w:rsidRDefault="00B302E5" w:rsidP="005E5732">
      <w:pPr>
        <w:spacing w:before="324" w:after="324"/>
        <w:jc w:val="center"/>
        <w:rPr>
          <w:b/>
          <w:i/>
          <w:color w:val="000000"/>
          <w:spacing w:val="-16"/>
          <w:w w:val="105"/>
          <w:lang w:val="fr-FR"/>
        </w:rPr>
      </w:pPr>
      <w:r w:rsidRPr="001D6A4B">
        <w:rPr>
          <w:b/>
          <w:i/>
          <w:color w:val="000000"/>
          <w:spacing w:val="-16"/>
          <w:w w:val="105"/>
          <w:lang w:val="fr-FR"/>
        </w:rPr>
        <w:t xml:space="preserve">Sectiunea 1 </w:t>
      </w:r>
      <w:r w:rsidRPr="001D6A4B">
        <w:rPr>
          <w:b/>
          <w:i/>
          <w:color w:val="000000"/>
          <w:spacing w:val="-16"/>
          <w:w w:val="105"/>
          <w:lang w:val="fr-FR"/>
        </w:rPr>
        <w:br/>
      </w:r>
      <w:r w:rsidRPr="001D6A4B">
        <w:rPr>
          <w:b/>
          <w:i/>
          <w:color w:val="000000"/>
          <w:spacing w:val="-8"/>
          <w:w w:val="105"/>
          <w:lang w:val="fr-FR"/>
        </w:rPr>
        <w:t>Titlul proiectului de hotărâre</w:t>
      </w:r>
    </w:p>
    <w:p w:rsidR="00B302E5" w:rsidRPr="001D6A4B" w:rsidRDefault="00B302E5" w:rsidP="00D47F44">
      <w:pPr>
        <w:jc w:val="center"/>
        <w:rPr>
          <w:b/>
          <w:color w:val="000000"/>
          <w:spacing w:val="-6"/>
          <w:lang w:val="fr-FR"/>
        </w:rPr>
      </w:pPr>
      <w:r w:rsidRPr="001D6A4B">
        <w:rPr>
          <w:b/>
          <w:color w:val="000000"/>
          <w:spacing w:val="-6"/>
          <w:lang w:val="fr-FR"/>
        </w:rPr>
        <w:t>Proiect de hotărâre</w:t>
      </w:r>
    </w:p>
    <w:p w:rsidR="00B302E5" w:rsidRDefault="00B302E5" w:rsidP="00D47F44">
      <w:pPr>
        <w:jc w:val="center"/>
        <w:rPr>
          <w:b/>
          <w:color w:val="000000"/>
          <w:spacing w:val="-2"/>
          <w:lang w:val="it-IT"/>
        </w:rPr>
      </w:pPr>
      <w:r w:rsidRPr="00752FDD">
        <w:rPr>
          <w:b/>
          <w:color w:val="000000"/>
          <w:spacing w:val="-6"/>
          <w:lang w:val="fr-FR"/>
        </w:rPr>
        <w:t xml:space="preserve"> </w:t>
      </w:r>
      <w:r w:rsidRPr="001D6A4B">
        <w:rPr>
          <w:b/>
          <w:color w:val="000000"/>
          <w:spacing w:val="-2"/>
          <w:lang w:val="it-IT"/>
        </w:rPr>
        <w:t>privind</w:t>
      </w:r>
      <w:r>
        <w:rPr>
          <w:b/>
          <w:color w:val="000000"/>
          <w:spacing w:val="-2"/>
          <w:lang w:val="it-IT"/>
        </w:rPr>
        <w:t xml:space="preserve"> </w:t>
      </w:r>
      <w:r w:rsidRPr="001264AE">
        <w:rPr>
          <w:b/>
          <w:lang w:val="it-IT"/>
        </w:rPr>
        <w:t xml:space="preserve">dezvoltarea, completarea şi </w:t>
      </w:r>
      <w:r w:rsidRPr="001264AE">
        <w:rPr>
          <w:b/>
          <w:lang w:val="ro-RO"/>
        </w:rPr>
        <w:t>reconfigurarea</w:t>
      </w:r>
      <w:r>
        <w:rPr>
          <w:lang w:val="ro-RO"/>
        </w:rPr>
        <w:t xml:space="preserve"> </w:t>
      </w:r>
      <w:r>
        <w:rPr>
          <w:b/>
          <w:color w:val="000000"/>
          <w:spacing w:val="-2"/>
          <w:lang w:val="it-IT"/>
        </w:rPr>
        <w:t>sistemului de înştiinţare-alarmare în</w:t>
      </w:r>
    </w:p>
    <w:p w:rsidR="00B302E5" w:rsidRPr="001D6A4B" w:rsidRDefault="00B302E5" w:rsidP="00D47F44">
      <w:pPr>
        <w:jc w:val="center"/>
        <w:rPr>
          <w:b/>
          <w:color w:val="000000"/>
          <w:spacing w:val="-2"/>
          <w:lang w:val="it-IT"/>
        </w:rPr>
      </w:pPr>
      <w:r>
        <w:rPr>
          <w:b/>
          <w:color w:val="000000"/>
          <w:spacing w:val="-2"/>
          <w:lang w:val="it-IT"/>
        </w:rPr>
        <w:t>situaţii de protecţie civilă la nivelul Municipiului Timişoara</w:t>
      </w:r>
    </w:p>
    <w:p w:rsidR="00B302E5" w:rsidRPr="003F4CC9" w:rsidRDefault="00B302E5" w:rsidP="005E5732">
      <w:pPr>
        <w:jc w:val="center"/>
        <w:rPr>
          <w:b/>
          <w:color w:val="000000"/>
          <w:spacing w:val="-2"/>
          <w:lang w:val="it-IT"/>
        </w:rPr>
      </w:pPr>
      <w:r w:rsidRPr="003F4CC9">
        <w:rPr>
          <w:b/>
          <w:color w:val="000000"/>
          <w:spacing w:val="-2"/>
          <w:lang w:val="it-IT"/>
        </w:rPr>
        <w:t>__________________________________________________</w:t>
      </w:r>
    </w:p>
    <w:p w:rsidR="00B302E5" w:rsidRPr="003F4CC9" w:rsidRDefault="00B302E5" w:rsidP="005E5732">
      <w:pPr>
        <w:jc w:val="center"/>
        <w:rPr>
          <w:b/>
          <w:color w:val="000000"/>
          <w:spacing w:val="-6"/>
          <w:lang w:val="it-IT"/>
        </w:rPr>
      </w:pPr>
    </w:p>
    <w:p w:rsidR="00B302E5" w:rsidRDefault="00B302E5" w:rsidP="00D47F44">
      <w:pPr>
        <w:spacing w:before="388" w:after="324"/>
        <w:jc w:val="center"/>
        <w:rPr>
          <w:b/>
          <w:i/>
          <w:color w:val="000000"/>
          <w:spacing w:val="-7"/>
          <w:w w:val="105"/>
          <w:lang w:val="it-IT"/>
        </w:rPr>
      </w:pPr>
      <w:r w:rsidRPr="003F4CC9">
        <w:rPr>
          <w:b/>
          <w:i/>
          <w:color w:val="000000"/>
          <w:spacing w:val="-20"/>
          <w:w w:val="105"/>
          <w:lang w:val="it-IT"/>
        </w:rPr>
        <w:t xml:space="preserve">Sectiunea a 2 - a </w:t>
      </w:r>
      <w:r w:rsidRPr="003F4CC9">
        <w:rPr>
          <w:b/>
          <w:i/>
          <w:color w:val="000000"/>
          <w:spacing w:val="-20"/>
          <w:w w:val="105"/>
          <w:lang w:val="it-IT"/>
        </w:rPr>
        <w:br/>
      </w:r>
      <w:r w:rsidRPr="003F4CC9">
        <w:rPr>
          <w:b/>
          <w:i/>
          <w:color w:val="000000"/>
          <w:spacing w:val="-7"/>
          <w:w w:val="105"/>
          <w:lang w:val="it-IT"/>
        </w:rPr>
        <w:t>Motivul emiterii proiectului de hotărâre</w:t>
      </w:r>
    </w:p>
    <w:p w:rsidR="00B302E5" w:rsidRPr="003F4CC9" w:rsidRDefault="00B302E5" w:rsidP="00D47F44">
      <w:pPr>
        <w:spacing w:before="388" w:after="324"/>
        <w:jc w:val="center"/>
        <w:rPr>
          <w:b/>
          <w:i/>
          <w:color w:val="000000"/>
          <w:spacing w:val="-7"/>
          <w:w w:val="105"/>
          <w:lang w:val="it-IT"/>
        </w:rPr>
      </w:pPr>
    </w:p>
    <w:p w:rsidR="00B302E5" w:rsidRPr="009C6DB1" w:rsidRDefault="00B302E5" w:rsidP="00EA5339">
      <w:pPr>
        <w:rPr>
          <w:b/>
          <w:lang w:val="it-IT"/>
        </w:rPr>
      </w:pPr>
      <w:r>
        <w:rPr>
          <w:b/>
          <w:lang w:val="it-IT"/>
        </w:rPr>
        <w:tab/>
        <w:t xml:space="preserve">1. </w:t>
      </w:r>
      <w:r w:rsidRPr="009C6DB1">
        <w:rPr>
          <w:b/>
          <w:lang w:val="it-IT"/>
        </w:rPr>
        <w:t>Descrierea situaţiei actuale</w:t>
      </w:r>
    </w:p>
    <w:p w:rsidR="00B302E5" w:rsidRPr="003F4CC9" w:rsidRDefault="00B302E5" w:rsidP="00EA5339">
      <w:pPr>
        <w:rPr>
          <w:lang w:val="it-IT"/>
        </w:rPr>
      </w:pPr>
    </w:p>
    <w:p w:rsidR="00B302E5" w:rsidRPr="002D2E6F" w:rsidRDefault="00B302E5" w:rsidP="00C562B4">
      <w:pPr>
        <w:jc w:val="both"/>
        <w:rPr>
          <w:color w:val="000000"/>
          <w:lang w:val="it-IT"/>
        </w:rPr>
      </w:pPr>
      <w:r w:rsidRPr="003F4CC9">
        <w:rPr>
          <w:lang w:val="it-IT"/>
        </w:rPr>
        <w:tab/>
        <w:t xml:space="preserve">Înştiinţarea, avertizarea, prealarmarea şi alarmarea se realizează în scopul evitării surprinderii şi al luării măsurilor privind adăpostirea populaţiei, protecţia bunurilor materiale, precum şi pentru limitarea </w:t>
      </w:r>
      <w:r w:rsidRPr="002D2E6F">
        <w:rPr>
          <w:color w:val="000000"/>
          <w:lang w:val="it-IT"/>
        </w:rPr>
        <w:t>efectelor dezastrelor, atacurilor din aer şi ale acţiunilor militare.</w:t>
      </w:r>
    </w:p>
    <w:p w:rsidR="00B302E5" w:rsidRPr="003F4CC9" w:rsidRDefault="00B302E5" w:rsidP="00C562B4">
      <w:pPr>
        <w:jc w:val="both"/>
        <w:rPr>
          <w:lang w:val="it-IT"/>
        </w:rPr>
      </w:pPr>
      <w:r w:rsidRPr="002D2E6F">
        <w:rPr>
          <w:color w:val="000000"/>
          <w:lang w:val="it-IT"/>
        </w:rPr>
        <w:tab/>
        <w:t xml:space="preserve">Alarmarea se realizează de către autorităţile administraţiei publice locale, în baza </w:t>
      </w:r>
      <w:hyperlink r:id="rId8" w:anchor="A286" w:tgtFrame="_blank" w:history="1">
        <w:r w:rsidRPr="002D2E6F">
          <w:rPr>
            <w:rStyle w:val="Hyperlink"/>
            <w:color w:val="000000"/>
            <w:u w:val="none"/>
            <w:lang w:val="it-IT"/>
          </w:rPr>
          <w:t>Legii nr. 481/2004</w:t>
        </w:r>
      </w:hyperlink>
      <w:r w:rsidRPr="002D2E6F">
        <w:rPr>
          <w:color w:val="000000"/>
          <w:lang w:val="it-IT"/>
        </w:rPr>
        <w:t> privind protecţia civilă,</w:t>
      </w:r>
      <w:r w:rsidRPr="003A0010">
        <w:rPr>
          <w:color w:val="000000"/>
          <w:lang w:val="it-IT"/>
        </w:rPr>
        <w:t xml:space="preserve"> </w:t>
      </w:r>
      <w:r>
        <w:rPr>
          <w:color w:val="000000"/>
          <w:lang w:val="it-IT"/>
        </w:rPr>
        <w:t>republicată,</w:t>
      </w:r>
      <w:r w:rsidRPr="002D2E6F">
        <w:rPr>
          <w:color w:val="000000"/>
          <w:lang w:val="it-IT"/>
        </w:rPr>
        <w:t xml:space="preserve"> cu modificările şi completările ulterioare şi a Normelor privind organizarea şi asigurarea activităţii de înştiinţare, avertizare, prealarmare şi alarmare în situaţii de protecţie civilă, aprobate prin Ordinul nr. 1.259 din 10 aprilie 2006 emis de Ministerul Adimistraţiei şi Internelor</w:t>
      </w:r>
      <w:r w:rsidRPr="003F4CC9">
        <w:rPr>
          <w:lang w:val="it-IT"/>
        </w:rPr>
        <w:t xml:space="preserve">. </w:t>
      </w:r>
    </w:p>
    <w:p w:rsidR="00B302E5" w:rsidRPr="003F4CC9" w:rsidRDefault="00B302E5" w:rsidP="00C562B4">
      <w:pPr>
        <w:jc w:val="both"/>
        <w:rPr>
          <w:lang w:val="it-IT"/>
        </w:rPr>
      </w:pPr>
      <w:r w:rsidRPr="003F4CC9">
        <w:rPr>
          <w:lang w:val="it-IT"/>
        </w:rPr>
        <w:tab/>
        <w:t>Înştiinţarea reprezintă activitatea de transmitere a informaţiilor autorizate despre iminenţa producerii sau producerea dezastrelor şi/sau a conflictelor armate către autorităţile administraţiei publice centrale ori locale, după caz, şi cuprinde:</w:t>
      </w:r>
    </w:p>
    <w:p w:rsidR="00B302E5" w:rsidRPr="003F4CC9" w:rsidRDefault="00B302E5" w:rsidP="00C562B4">
      <w:pPr>
        <w:jc w:val="both"/>
        <w:rPr>
          <w:lang w:val="it-IT"/>
        </w:rPr>
      </w:pPr>
      <w:r w:rsidRPr="003F4CC9">
        <w:rPr>
          <w:lang w:val="it-IT"/>
        </w:rPr>
        <w:t>a) înştiinţarea despre iminenţa producerii sau producerea unor dezastre - se realizează de Inspectoratul General pentru Situaţii de Urgenţă, denumit în continuare Inspectoratul General, sau de serviciile de urgenţă profesioniste, după caz;</w:t>
      </w:r>
    </w:p>
    <w:p w:rsidR="00B302E5" w:rsidRPr="003F4CC9" w:rsidRDefault="00B302E5" w:rsidP="00C562B4">
      <w:pPr>
        <w:jc w:val="both"/>
        <w:rPr>
          <w:lang w:val="it-IT"/>
        </w:rPr>
      </w:pPr>
      <w:r w:rsidRPr="003F4CC9">
        <w:rPr>
          <w:lang w:val="it-IT"/>
        </w:rPr>
        <w:t>b) înştiinţarea despre pericolul atacului din aer - vizează introducerea situaţiilor de alarmă aeriană şi încetarea alarmei şi se emit pe baza informaţiilor primite de la Statul Major al Forţelor Aeriene;</w:t>
      </w:r>
    </w:p>
    <w:p w:rsidR="00B302E5" w:rsidRPr="003F4CC9" w:rsidRDefault="00B302E5" w:rsidP="00C562B4">
      <w:pPr>
        <w:jc w:val="both"/>
        <w:rPr>
          <w:lang w:val="it-IT"/>
        </w:rPr>
      </w:pPr>
      <w:r w:rsidRPr="003F4CC9">
        <w:rPr>
          <w:lang w:val="it-IT"/>
        </w:rPr>
        <w:t>c) înştiinţarea despre utilizarea mijloacelor chimice, biologice, nucleare, radiologice, convenţionale şi neconvenţionale - vizează pericolul contaminării, direcţia de deplasare a norului toxic şi se transmit pe baza datelor şi informaţiilor primite de la Statul Major General şi structurile specializate din cadrul categoriilor de forţe ale armatei.</w:t>
      </w:r>
    </w:p>
    <w:p w:rsidR="00B302E5" w:rsidRPr="003F4CC9" w:rsidRDefault="00B302E5" w:rsidP="00C562B4">
      <w:pPr>
        <w:jc w:val="both"/>
        <w:rPr>
          <w:lang w:val="it-IT"/>
        </w:rPr>
      </w:pPr>
      <w:r w:rsidRPr="003F4CC9">
        <w:rPr>
          <w:lang w:val="it-IT"/>
        </w:rPr>
        <w:tab/>
        <w:t>Mesajele de înştiinţare despre iminenţa producerii sau producerea unor dezastre vizează iminenţa declanşării sau declanşarea unor tipuri de riscuri.</w:t>
      </w:r>
    </w:p>
    <w:p w:rsidR="00B302E5" w:rsidRPr="003F4CC9" w:rsidRDefault="00B302E5" w:rsidP="00C562B4">
      <w:pPr>
        <w:jc w:val="both"/>
        <w:rPr>
          <w:lang w:val="it-IT"/>
        </w:rPr>
      </w:pPr>
      <w:r w:rsidRPr="003F4CC9">
        <w:rPr>
          <w:lang w:val="it-IT"/>
        </w:rPr>
        <w:tab/>
        <w:t>Avertizarea constă în aducerea la cunoştinţă populaţiei a informaţiilor despre iminenţa producerii sau producerea unor dezastre şi se realizează de către autorităţile administraţiei publice centrale sau locale, după caz, pe baza înştiinţării transmise de structurile abilitate.</w:t>
      </w:r>
    </w:p>
    <w:p w:rsidR="00B302E5" w:rsidRPr="003F4CC9" w:rsidRDefault="00B302E5" w:rsidP="00C562B4">
      <w:pPr>
        <w:jc w:val="both"/>
        <w:rPr>
          <w:lang w:val="it-IT"/>
        </w:rPr>
      </w:pPr>
      <w:r w:rsidRPr="003F4CC9">
        <w:rPr>
          <w:lang w:val="it-IT"/>
        </w:rPr>
        <w:tab/>
        <w:t xml:space="preserve">Prealarmarea reprezintă activitatea de transmitere către autorităţile administraţiei publice centrale şi locale a mesajelor/semnalelor/informaţiilor despre probabilitatea producerii unor dezastre sau a </w:t>
      </w:r>
      <w:r w:rsidRPr="003F4CC9">
        <w:rPr>
          <w:lang w:val="it-IT"/>
        </w:rPr>
        <w:lastRenderedPageBreak/>
        <w:t>atacurilor din aer şi se realizează de Inspectoratul General şi de serviciile de urgenţă profesioniste, după caz.</w:t>
      </w:r>
    </w:p>
    <w:p w:rsidR="00B302E5" w:rsidRPr="003F4CC9" w:rsidRDefault="00B302E5" w:rsidP="00C562B4">
      <w:pPr>
        <w:jc w:val="both"/>
        <w:rPr>
          <w:lang w:val="it-IT"/>
        </w:rPr>
      </w:pPr>
      <w:r w:rsidRPr="003F4CC9">
        <w:rPr>
          <w:lang w:val="it-IT"/>
        </w:rPr>
        <w:tab/>
        <w:t>Alarmarea populaţiei reprezintă activitatea de transmitere a mesajelor despre iminenţa producerii unor dezastre sau a unui atac aerian şi se realizează de către autorităţile administraţiei publice centrale ori locale, după caz, prin mijloacele de alarmare, pe baza înştiinţării de la structurile abilitate.</w:t>
      </w:r>
    </w:p>
    <w:p w:rsidR="00B302E5" w:rsidRPr="003F4CC9" w:rsidRDefault="00B302E5" w:rsidP="00C562B4">
      <w:pPr>
        <w:jc w:val="both"/>
        <w:rPr>
          <w:lang w:val="it-IT"/>
        </w:rPr>
      </w:pPr>
      <w:r w:rsidRPr="003F4CC9">
        <w:rPr>
          <w:lang w:val="it-IT"/>
        </w:rPr>
        <w:tab/>
        <w:t>Alarmarea trebuie să fie oportună, autentică, stabilă şi să asigure în bune condiţii prevenirea populaţiei:</w:t>
      </w:r>
    </w:p>
    <w:p w:rsidR="00B302E5" w:rsidRPr="003F4CC9" w:rsidRDefault="00B302E5" w:rsidP="00C562B4">
      <w:pPr>
        <w:jc w:val="both"/>
        <w:rPr>
          <w:lang w:val="it-IT"/>
        </w:rPr>
      </w:pPr>
      <w:r w:rsidRPr="003F4CC9">
        <w:rPr>
          <w:lang w:val="it-IT"/>
        </w:rPr>
        <w:t>a) oportună - prevenirea populaţiei în timp scurt - prin mijloace şi sisteme de alarmare care să poată fi acţionate imediat la apariţia pericolului atacurilor din aer sau producerii unor dezastre;</w:t>
      </w:r>
    </w:p>
    <w:p w:rsidR="00B302E5" w:rsidRPr="003F4CC9" w:rsidRDefault="00B302E5" w:rsidP="00C562B4">
      <w:pPr>
        <w:jc w:val="both"/>
        <w:rPr>
          <w:lang w:val="it-IT"/>
        </w:rPr>
      </w:pPr>
      <w:r w:rsidRPr="003F4CC9">
        <w:rPr>
          <w:lang w:val="it-IT"/>
        </w:rPr>
        <w:t>b) autentică - prin mijloace specifice de către personalul stabilit prin decizii ale preşedinţilor comitetelor pentru situaţii de urgenţă;</w:t>
      </w:r>
    </w:p>
    <w:p w:rsidR="00B302E5" w:rsidRPr="003F4CC9" w:rsidRDefault="00B302E5" w:rsidP="00C562B4">
      <w:pPr>
        <w:jc w:val="both"/>
        <w:rPr>
          <w:lang w:val="it-IT"/>
        </w:rPr>
      </w:pPr>
      <w:r w:rsidRPr="003F4CC9">
        <w:rPr>
          <w:lang w:val="it-IT"/>
        </w:rPr>
        <w:t xml:space="preserve">c) stabilă - prevenirea populaţiei şi operatorilor economici - în orice situaţie creată. </w:t>
      </w:r>
    </w:p>
    <w:p w:rsidR="00B302E5" w:rsidRPr="003F4CC9" w:rsidRDefault="00B302E5" w:rsidP="00C562B4">
      <w:pPr>
        <w:jc w:val="both"/>
        <w:rPr>
          <w:lang w:val="it-IT"/>
        </w:rPr>
      </w:pPr>
      <w:r w:rsidRPr="003F4CC9">
        <w:rPr>
          <w:lang w:val="it-IT"/>
        </w:rPr>
        <w:tab/>
        <w:t>Caracteristica stabilă a alarmării se obţine prin:</w:t>
      </w:r>
    </w:p>
    <w:p w:rsidR="00B302E5" w:rsidRPr="003F4CC9" w:rsidRDefault="00B302E5" w:rsidP="00C562B4">
      <w:pPr>
        <w:jc w:val="both"/>
        <w:rPr>
          <w:lang w:val="it-IT"/>
        </w:rPr>
      </w:pPr>
      <w:r w:rsidRPr="003F4CC9">
        <w:rPr>
          <w:lang w:val="it-IT"/>
        </w:rPr>
        <w:t>(i) menţinerea mijloacelor de alarmare în permanentă stare de funcţionare;</w:t>
      </w:r>
    </w:p>
    <w:p w:rsidR="00B302E5" w:rsidRPr="003F4CC9" w:rsidRDefault="00B302E5" w:rsidP="00C562B4">
      <w:pPr>
        <w:jc w:val="both"/>
        <w:rPr>
          <w:lang w:val="it-IT"/>
        </w:rPr>
      </w:pPr>
      <w:r w:rsidRPr="003F4CC9">
        <w:rPr>
          <w:lang w:val="it-IT"/>
        </w:rPr>
        <w:t>(îi) folosirea mai multor tipuri de mijloace de alarmare a căror funcţionare să fie asigurată de cel puţin 3 surse energetice diferite: reţea industrială, grupuri electrogene, acumulatoare, aer comprimat, abur, carburanţi şi altele asemenea;</w:t>
      </w:r>
    </w:p>
    <w:p w:rsidR="00B302E5" w:rsidRPr="003F4CC9" w:rsidRDefault="00B302E5" w:rsidP="00C562B4">
      <w:pPr>
        <w:jc w:val="both"/>
        <w:rPr>
          <w:lang w:val="it-IT"/>
        </w:rPr>
      </w:pPr>
      <w:r w:rsidRPr="003F4CC9">
        <w:rPr>
          <w:lang w:val="it-IT"/>
        </w:rPr>
        <w:t>(iii) verificarea periodică a dispozitivelor de acţionare a mijloacelor de alarmare;</w:t>
      </w:r>
    </w:p>
    <w:p w:rsidR="00B302E5" w:rsidRPr="003F4CC9" w:rsidRDefault="00B302E5" w:rsidP="00C562B4">
      <w:pPr>
        <w:jc w:val="both"/>
        <w:rPr>
          <w:lang w:val="it-IT"/>
        </w:rPr>
      </w:pPr>
      <w:r w:rsidRPr="003F4CC9">
        <w:rPr>
          <w:lang w:val="it-IT"/>
        </w:rPr>
        <w:t>(iv) readucerea la starea de funcţionare, în timp scurt, a sistemelor şi mijloacelor de alarmare afectate în urma atacurilor din aer;</w:t>
      </w:r>
    </w:p>
    <w:p w:rsidR="00B302E5" w:rsidRPr="003F4CC9" w:rsidRDefault="00B302E5" w:rsidP="00C562B4">
      <w:pPr>
        <w:jc w:val="both"/>
        <w:rPr>
          <w:lang w:val="it-IT"/>
        </w:rPr>
      </w:pPr>
      <w:r w:rsidRPr="003F4CC9">
        <w:rPr>
          <w:lang w:val="it-IT"/>
        </w:rPr>
        <w:t>(v) intensitatea acustică a semnalelor de alarmare să fie cu cel puţin 6-10 dB mai mare decât zgomotul de fond.</w:t>
      </w:r>
    </w:p>
    <w:p w:rsidR="00B302E5" w:rsidRPr="003F4CC9" w:rsidRDefault="00B302E5" w:rsidP="00C562B4">
      <w:pPr>
        <w:jc w:val="both"/>
        <w:rPr>
          <w:lang w:val="it-IT"/>
        </w:rPr>
      </w:pPr>
      <w:r w:rsidRPr="003F4CC9">
        <w:rPr>
          <w:lang w:val="it-IT"/>
        </w:rPr>
        <w:tab/>
        <w:t>Sistemul de înştiinţare, avertizare şi alarmare la localităţi, instituţii publice şi operatori economici se verifică periodic prin executarea de antrenamente şi exerciţii.</w:t>
      </w:r>
    </w:p>
    <w:p w:rsidR="00B302E5" w:rsidRPr="003F4CC9" w:rsidRDefault="00B302E5" w:rsidP="00C562B4">
      <w:pPr>
        <w:jc w:val="both"/>
        <w:rPr>
          <w:lang w:val="it-IT"/>
        </w:rPr>
      </w:pPr>
      <w:r>
        <w:rPr>
          <w:lang w:val="it-IT"/>
        </w:rPr>
        <w:tab/>
        <w:t>N</w:t>
      </w:r>
      <w:r w:rsidRPr="003F4CC9">
        <w:rPr>
          <w:lang w:val="it-IT"/>
        </w:rPr>
        <w:t>umărul, tipul mijloacelor de alarmare şi locurile de instalare a acestora pentru asigurarea alarmării localităţilor şi operatorilor economici se stabilesc de către Inspectoratul General în baza studiilor de audibilitate.</w:t>
      </w:r>
    </w:p>
    <w:p w:rsidR="00B302E5" w:rsidRPr="003F4CC9" w:rsidRDefault="00B302E5" w:rsidP="00C562B4">
      <w:pPr>
        <w:jc w:val="both"/>
        <w:rPr>
          <w:lang w:val="it-IT"/>
        </w:rPr>
      </w:pPr>
      <w:r w:rsidRPr="003F4CC9">
        <w:rPr>
          <w:lang w:val="it-IT"/>
        </w:rPr>
        <w:tab/>
        <w:t>Asigurarea cu mijloace de alarmare se realizează din timp de pace. La trecerea graduală de la starea de pace la starea de război, prin trepte ale mobilizării, completarea echipamentelor se realizează conform normelor de înzestrare.</w:t>
      </w:r>
    </w:p>
    <w:p w:rsidR="00B302E5" w:rsidRPr="003F4CC9" w:rsidRDefault="00B302E5" w:rsidP="00C562B4">
      <w:pPr>
        <w:jc w:val="both"/>
        <w:rPr>
          <w:lang w:val="it-IT"/>
        </w:rPr>
      </w:pPr>
      <w:r w:rsidRPr="003F4CC9">
        <w:rPr>
          <w:lang w:val="it-IT"/>
        </w:rPr>
        <w:tab/>
        <w:t>Alarmarea populaţiei, instituţiilor publice şi operatorilor economici se realizează prin semnale acustice sau optice emise cu ajutorul mijloacelor de alarmare şi prin comunicări transmise pe posturile de radiodifuziune şi televiziune centrale şi locale, iar în cazul existenţei, şi prin staţiile de radioficare şi radioamplificare.</w:t>
      </w:r>
    </w:p>
    <w:p w:rsidR="00B302E5" w:rsidRPr="003F4CC9" w:rsidRDefault="00B302E5" w:rsidP="00C562B4">
      <w:pPr>
        <w:jc w:val="both"/>
        <w:rPr>
          <w:lang w:val="it-IT"/>
        </w:rPr>
      </w:pPr>
      <w:r w:rsidRPr="003F4CC9">
        <w:rPr>
          <w:lang w:val="it-IT"/>
        </w:rPr>
        <w:tab/>
        <w:t>Semnalele de alarmare acustice a populaţiei, instituţiilor publice şi operatorilor economici sunt: alarmă aeriană, alarmă la dezastre, prealarmă aeriană şi încetarea alarmei.</w:t>
      </w:r>
    </w:p>
    <w:p w:rsidR="00B302E5" w:rsidRPr="003F4CC9" w:rsidRDefault="00B302E5" w:rsidP="00C562B4">
      <w:pPr>
        <w:jc w:val="both"/>
        <w:rPr>
          <w:lang w:val="it-IT"/>
        </w:rPr>
      </w:pPr>
      <w:r w:rsidRPr="003F4CC9">
        <w:rPr>
          <w:lang w:val="it-IT"/>
        </w:rPr>
        <w:tab/>
        <w:t>Mijloacele de alarmare acustice asigură emiterea de sunete acustice cu frecvenţe de 200-500 Hz şi pot fi speciale şi obişnuite:</w:t>
      </w:r>
    </w:p>
    <w:p w:rsidR="00B302E5" w:rsidRPr="003F4CC9" w:rsidRDefault="00B302E5" w:rsidP="00C562B4">
      <w:pPr>
        <w:jc w:val="both"/>
        <w:rPr>
          <w:lang w:val="it-IT"/>
        </w:rPr>
      </w:pPr>
      <w:r w:rsidRPr="003F4CC9">
        <w:rPr>
          <w:lang w:val="it-IT"/>
        </w:rPr>
        <w:tab/>
        <w:t>Mijloacele de alarmare acustice speciale sunt sirenele electrice şi electronice de diferite puteri, sirenele cu aer comprimat şi motosirenele.</w:t>
      </w:r>
    </w:p>
    <w:p w:rsidR="00B302E5" w:rsidRDefault="00B302E5" w:rsidP="00C562B4">
      <w:pPr>
        <w:jc w:val="both"/>
        <w:rPr>
          <w:lang w:val="it-IT"/>
        </w:rPr>
      </w:pPr>
      <w:r w:rsidRPr="003F4CC9">
        <w:rPr>
          <w:lang w:val="it-IT"/>
        </w:rPr>
        <w:tab/>
        <w:t>Sistemul de alarmare al unei localităţi sau operator economic, în general, cuprinde: sirene electrice şi/sau electronice acţionate centralizat sau local, centrale de alarmare, staţii de radioficare şi radioamplificare.</w:t>
      </w:r>
    </w:p>
    <w:p w:rsidR="00B302E5" w:rsidRPr="00BE4169" w:rsidRDefault="00B302E5" w:rsidP="003470CD">
      <w:pPr>
        <w:jc w:val="both"/>
        <w:rPr>
          <w:lang w:val="it-IT"/>
        </w:rPr>
      </w:pPr>
      <w:r w:rsidRPr="00BE4169">
        <w:rPr>
          <w:lang w:val="it-IT"/>
        </w:rPr>
        <w:tab/>
        <w:t xml:space="preserve">  În baza prevederilor art. 22 din Ordinul M.A.I. nr. 1.259/2006  pentru aprobarea Normele privind organizarea şi asigurarea activităţii de înştiinţare, avertizare, prealarmare şi alarmare</w:t>
      </w:r>
      <w:r w:rsidRPr="00BE4169">
        <w:rPr>
          <w:color w:val="000000"/>
          <w:lang w:val="it-IT"/>
        </w:rPr>
        <w:t xml:space="preserve"> în situaţii de protecţie civilă</w:t>
      </w:r>
      <w:r w:rsidRPr="00BE4169">
        <w:rPr>
          <w:lang w:val="it-IT"/>
        </w:rPr>
        <w:t>, “numărul, tipul mijloacelor de alarmare şi locurile de instalare a acestora pentru asigurarea alarmării localităţilor şi operatorilor economici se stabilesc de către Inspectoratul General în baza studiilor de audibilitate.”</w:t>
      </w:r>
    </w:p>
    <w:p w:rsidR="00B302E5" w:rsidRPr="00BE4169" w:rsidRDefault="00B302E5" w:rsidP="00C562B4">
      <w:pPr>
        <w:jc w:val="both"/>
        <w:rPr>
          <w:lang w:val="it-IT"/>
        </w:rPr>
      </w:pPr>
      <w:r w:rsidRPr="00BE4169">
        <w:rPr>
          <w:lang w:val="it-IT"/>
        </w:rPr>
        <w:tab/>
        <w:t xml:space="preserve"> Aşa cum rezultă din adresa</w:t>
      </w:r>
      <w:r>
        <w:rPr>
          <w:lang w:val="ro-RO"/>
        </w:rPr>
        <w:t xml:space="preserve"> nr.20042/Bucureşti/19.01.2017,</w:t>
      </w:r>
      <w:r w:rsidRPr="00BE4169">
        <w:rPr>
          <w:lang w:val="it-IT"/>
        </w:rPr>
        <w:t xml:space="preserve"> </w:t>
      </w:r>
      <w:r>
        <w:rPr>
          <w:lang w:val="ro-RO"/>
        </w:rPr>
        <w:t>înregistrată la Primăria Municipiului Timişoara</w:t>
      </w:r>
      <w:r w:rsidRPr="00BE4169">
        <w:rPr>
          <w:lang w:val="it-IT"/>
        </w:rPr>
        <w:t xml:space="preserve"> cu nr. SC2017-001922/</w:t>
      </w:r>
      <w:r>
        <w:rPr>
          <w:lang w:val="ro-RO"/>
        </w:rPr>
        <w:t xml:space="preserve">26.01.2017, </w:t>
      </w:r>
      <w:r w:rsidRPr="00BE4169">
        <w:rPr>
          <w:lang w:val="it-IT"/>
        </w:rPr>
        <w:t>Inspectoratul Gen</w:t>
      </w:r>
      <w:r>
        <w:rPr>
          <w:lang w:val="it-IT"/>
        </w:rPr>
        <w:t>eral pentru Situaţii de Urgenţă</w:t>
      </w:r>
      <w:r w:rsidRPr="00BE4169">
        <w:rPr>
          <w:lang w:val="it-IT"/>
        </w:rPr>
        <w:t xml:space="preserve"> a avizat favorabil documentaţia “Studiu de audibilitate în vederea dezvoltării şi completării sistemului de înştiinţare-alarmare în situaţii de protecţie civilă la nivelul</w:t>
      </w:r>
      <w:r w:rsidRPr="004021D7">
        <w:rPr>
          <w:lang w:val="ro-RO"/>
        </w:rPr>
        <w:t xml:space="preserve"> </w:t>
      </w:r>
      <w:r w:rsidRPr="004A06DC">
        <w:rPr>
          <w:lang w:val="ro-RO"/>
        </w:rPr>
        <w:t>Municipiului Timişoara</w:t>
      </w:r>
      <w:r w:rsidRPr="00BE4169">
        <w:rPr>
          <w:lang w:val="it-IT"/>
        </w:rPr>
        <w:t>”</w:t>
      </w:r>
      <w:r>
        <w:rPr>
          <w:lang w:val="it-IT"/>
        </w:rPr>
        <w:t>,</w:t>
      </w:r>
      <w:r w:rsidRPr="00814732">
        <w:rPr>
          <w:lang w:val="it-IT"/>
        </w:rPr>
        <w:t xml:space="preserve"> </w:t>
      </w:r>
      <w:r w:rsidRPr="00BE4169">
        <w:rPr>
          <w:lang w:val="it-IT"/>
        </w:rPr>
        <w:t>în conformitate cu prevederile art.11 lit.1) din HG nr.1490/2004 şi al</w:t>
      </w:r>
      <w:r>
        <w:rPr>
          <w:lang w:val="it-IT"/>
        </w:rPr>
        <w:t>e art. 46 din OMAI nr.1259/2006</w:t>
      </w:r>
      <w:r w:rsidRPr="00BE4169">
        <w:rPr>
          <w:lang w:val="it-IT"/>
        </w:rPr>
        <w:t>.</w:t>
      </w:r>
    </w:p>
    <w:p w:rsidR="00B302E5" w:rsidRDefault="00B302E5" w:rsidP="00C562B4">
      <w:pPr>
        <w:jc w:val="both"/>
        <w:rPr>
          <w:lang w:val="ro-RO"/>
        </w:rPr>
      </w:pPr>
      <w:r w:rsidRPr="00BE4169">
        <w:rPr>
          <w:lang w:val="it-IT"/>
        </w:rPr>
        <w:tab/>
      </w:r>
      <w:r>
        <w:rPr>
          <w:lang w:val="it-IT"/>
        </w:rPr>
        <w:t>Conform</w:t>
      </w:r>
      <w:r>
        <w:rPr>
          <w:lang w:val="ro-RO"/>
        </w:rPr>
        <w:t xml:space="preserve"> studiului de audibilitate menţionat mai sus întocmit de SC TOPGES PROIECT SRL proiect nr. 18</w:t>
      </w:r>
      <w:r w:rsidRPr="004A06DC">
        <w:rPr>
          <w:lang w:val="ro-RO"/>
        </w:rPr>
        <w:t>/2016</w:t>
      </w:r>
      <w:r>
        <w:rPr>
          <w:lang w:val="ro-RO"/>
        </w:rPr>
        <w:t>, rezultă că</w:t>
      </w:r>
      <w:r>
        <w:rPr>
          <w:lang w:val="it-IT"/>
        </w:rPr>
        <w:t xml:space="preserve"> la nivelul </w:t>
      </w:r>
      <w:r w:rsidRPr="004A06DC">
        <w:rPr>
          <w:lang w:val="ro-RO"/>
        </w:rPr>
        <w:t>Municipiului Timişoara</w:t>
      </w:r>
      <w:r>
        <w:rPr>
          <w:lang w:val="ro-RO"/>
        </w:rPr>
        <w:t xml:space="preserve">, </w:t>
      </w:r>
      <w:r w:rsidRPr="00BA3693">
        <w:rPr>
          <w:lang w:val="it-IT"/>
        </w:rPr>
        <w:t>“</w:t>
      </w:r>
      <w:r>
        <w:rPr>
          <w:lang w:val="it-IT"/>
        </w:rPr>
        <w:t>Î</w:t>
      </w:r>
      <w:r w:rsidRPr="004A06DC">
        <w:rPr>
          <w:lang w:val="ro-RO"/>
        </w:rPr>
        <w:t>n momentul de faţă,</w:t>
      </w:r>
      <w:r>
        <w:rPr>
          <w:lang w:val="ro-RO"/>
        </w:rPr>
        <w:t xml:space="preserve"> în teren</w:t>
      </w:r>
      <w:r w:rsidRPr="004A06DC">
        <w:rPr>
          <w:lang w:val="ro-RO"/>
        </w:rPr>
        <w:t xml:space="preserve"> sist</w:t>
      </w:r>
      <w:r>
        <w:rPr>
          <w:lang w:val="ro-RO"/>
        </w:rPr>
        <w:t xml:space="preserve">emul </w:t>
      </w:r>
      <w:r>
        <w:rPr>
          <w:lang w:val="ro-RO"/>
        </w:rPr>
        <w:lastRenderedPageBreak/>
        <w:t xml:space="preserve">de înştiinţare-alarmare </w:t>
      </w:r>
      <w:r w:rsidRPr="004A06DC">
        <w:rPr>
          <w:lang w:val="ro-RO"/>
        </w:rPr>
        <w:t>instalat pe domeniul public şi la agenţii economici din zonă, este compus din sirene electronice de 1500W, 1200W şi 500W, alimentate de la reţeaua locală de 220V (230V)</w:t>
      </w:r>
      <w:r>
        <w:rPr>
          <w:lang w:val="ro-RO"/>
        </w:rPr>
        <w:t>,</w:t>
      </w:r>
      <w:r w:rsidRPr="00AB02A2">
        <w:rPr>
          <w:lang w:val="it-IT"/>
        </w:rPr>
        <w:t>”</w:t>
      </w:r>
      <w:r>
        <w:rPr>
          <w:lang w:val="ro-RO"/>
        </w:rPr>
        <w:t xml:space="preserve"> în număr de 12 sirene, </w:t>
      </w:r>
      <w:r w:rsidRPr="00134FB9">
        <w:rPr>
          <w:lang w:val="ro-RO"/>
        </w:rPr>
        <w:t>“</w:t>
      </w:r>
      <w:r>
        <w:rPr>
          <w:lang w:val="ro-RO"/>
        </w:rPr>
        <w:t>sistemul de înştiinţare-alarmare este funcţional, dar este necesară întreţinerea lor susţinută, pentru că vorbim aici de subsisteme de alarmare (sirene electronice) care sunt din punct de vedere al tehnologiei de care beneficiază, de o generaţie mai veche din seria sirenelor electronice.”</w:t>
      </w:r>
    </w:p>
    <w:p w:rsidR="00B302E5" w:rsidRDefault="00B302E5" w:rsidP="00C562B4">
      <w:pPr>
        <w:jc w:val="both"/>
        <w:rPr>
          <w:color w:val="000000"/>
          <w:lang w:val="it-IT"/>
        </w:rPr>
      </w:pPr>
      <w:r w:rsidRPr="006E346D">
        <w:rPr>
          <w:lang w:val="it-IT"/>
        </w:rPr>
        <w:tab/>
        <w:t xml:space="preserve">Potrivit </w:t>
      </w:r>
      <w:hyperlink r:id="rId9" w:anchor="A286" w:tgtFrame="_blank" w:history="1">
        <w:r w:rsidRPr="006E346D">
          <w:rPr>
            <w:rStyle w:val="Hyperlink"/>
            <w:color w:val="000000"/>
            <w:u w:val="none"/>
            <w:lang w:val="it-IT"/>
          </w:rPr>
          <w:t>Legii nr. 481/2004</w:t>
        </w:r>
      </w:hyperlink>
      <w:r w:rsidRPr="006E346D">
        <w:rPr>
          <w:color w:val="000000"/>
          <w:lang w:val="it-IT"/>
        </w:rPr>
        <w:t> pri</w:t>
      </w:r>
      <w:r>
        <w:rPr>
          <w:color w:val="000000"/>
          <w:lang w:val="it-IT"/>
        </w:rPr>
        <w:t xml:space="preserve">vind protecţia civilă, art. 38, </w:t>
      </w:r>
      <w:r w:rsidRPr="005058C0">
        <w:rPr>
          <w:color w:val="000000"/>
          <w:lang w:val="it-IT"/>
        </w:rPr>
        <w:t>republicată,</w:t>
      </w:r>
      <w:r w:rsidRPr="005058C0">
        <w:rPr>
          <w:lang w:val="it-IT"/>
        </w:rPr>
        <w:t xml:space="preserve"> </w:t>
      </w:r>
      <w:r w:rsidRPr="006E346D">
        <w:rPr>
          <w:color w:val="000000"/>
          <w:lang w:val="it-IT"/>
        </w:rPr>
        <w:t>periodic, pe baza planurilor şi a programelor de pregătire şi cu aprobarea primarului localităţii, se efectuează exerciţii de alarmare publică.</w:t>
      </w:r>
    </w:p>
    <w:p w:rsidR="00B302E5" w:rsidRDefault="00B302E5" w:rsidP="00501207">
      <w:pPr>
        <w:jc w:val="both"/>
        <w:rPr>
          <w:lang w:val="en-GB"/>
        </w:rPr>
      </w:pPr>
      <w:r>
        <w:rPr>
          <w:lang w:val="it-IT"/>
        </w:rPr>
        <w:tab/>
      </w:r>
      <w:r>
        <w:rPr>
          <w:lang w:val="en-GB"/>
        </w:rPr>
        <w:t>Î</w:t>
      </w:r>
      <w:r w:rsidRPr="00501207">
        <w:rPr>
          <w:lang w:val="en-GB"/>
        </w:rPr>
        <w:t>n conformitate cu</w:t>
      </w:r>
      <w:r>
        <w:t xml:space="preserve"> </w:t>
      </w:r>
      <w:hyperlink r:id="rId10" w:anchor="A286" w:tgtFrame="_blank" w:history="1">
        <w:r>
          <w:rPr>
            <w:rStyle w:val="Hyperlink"/>
            <w:color w:val="000000"/>
            <w:u w:val="none"/>
            <w:lang w:val="en-GB"/>
          </w:rPr>
          <w:t>Legea</w:t>
        </w:r>
        <w:r w:rsidRPr="00501207">
          <w:rPr>
            <w:rStyle w:val="Hyperlink"/>
            <w:color w:val="000000"/>
            <w:u w:val="none"/>
            <w:lang w:val="en-GB"/>
          </w:rPr>
          <w:t xml:space="preserve"> nr. 481/2004</w:t>
        </w:r>
      </w:hyperlink>
      <w:r w:rsidRPr="00C674C7">
        <w:rPr>
          <w:color w:val="000000"/>
          <w:lang w:val="en-GB"/>
        </w:rPr>
        <w:t xml:space="preserve"> republicată,</w:t>
      </w:r>
      <w:r w:rsidRPr="00501207">
        <w:rPr>
          <w:lang w:val="en-GB"/>
        </w:rPr>
        <w:t xml:space="preserve"> art. 41 alin. (2) </w:t>
      </w:r>
      <w:r>
        <w:rPr>
          <w:lang w:val="en-GB"/>
        </w:rPr>
        <w:t>a</w:t>
      </w:r>
      <w:r w:rsidRPr="00501207">
        <w:rPr>
          <w:lang w:val="en-GB"/>
        </w:rPr>
        <w:t>larmarea populaţiei se realizează de autorităţile administraţiei publice centrale sau locale, după caz, prin mijloacele specifice, pe baza înştiinţării primite de la structurile abilitate</w:t>
      </w:r>
      <w:r>
        <w:rPr>
          <w:lang w:val="en-GB"/>
        </w:rPr>
        <w:t xml:space="preserve"> </w:t>
      </w:r>
      <w:r>
        <w:rPr>
          <w:lang w:val="ro-RO"/>
        </w:rPr>
        <w:t>şi conform</w:t>
      </w:r>
      <w:r>
        <w:rPr>
          <w:lang w:val="en-GB"/>
        </w:rPr>
        <w:t xml:space="preserve"> </w:t>
      </w:r>
      <w:r w:rsidRPr="00150F93">
        <w:rPr>
          <w:lang w:val="en-GB"/>
        </w:rPr>
        <w:t>art. 42 alin. (1)</w:t>
      </w:r>
      <w:r>
        <w:rPr>
          <w:lang w:val="en-GB"/>
        </w:rPr>
        <w:t xml:space="preserve"> din aceeaşi lege m</w:t>
      </w:r>
      <w:r w:rsidRPr="00150F93">
        <w:rPr>
          <w:lang w:val="en-GB"/>
        </w:rPr>
        <w:t>ijloacele de avertizare şi alarmare specifice se instalează în locurile stabilite de Inspectoratul General pentru Situaţii de Urgenţă şi de serviciile de urgenţă profesioniste.</w:t>
      </w:r>
    </w:p>
    <w:p w:rsidR="00B302E5" w:rsidRPr="00FE5AE4" w:rsidRDefault="00B302E5" w:rsidP="00AB362F">
      <w:pPr>
        <w:jc w:val="both"/>
        <w:rPr>
          <w:lang w:val="en-GB"/>
        </w:rPr>
      </w:pPr>
      <w:r w:rsidRPr="00FE5AE4">
        <w:rPr>
          <w:lang w:val="en-GB"/>
        </w:rPr>
        <w:tab/>
        <w:t xml:space="preserve">Prin adresa nr. 20.042/02.2017 Inspectoratul pentru Situaţii de Urgenţă </w:t>
      </w:r>
      <w:r>
        <w:rPr>
          <w:lang w:val="ro-RO"/>
        </w:rPr>
        <w:t>„Banat” al judeţului Timiş</w:t>
      </w:r>
      <w:r w:rsidRPr="00FE5AE4">
        <w:rPr>
          <w:lang w:val="en-GB"/>
        </w:rPr>
        <w:t xml:space="preserve"> ne-a comunicat, ca urmare a solicitării noastre cu nr. 20.042/19.01.2017 adresată în baza prevederilor art. 42 din legea nr.481/2004, că “soluţia optimă care corespunde din punct de vedere tehnic este varianta nr.3 din studiul realizat” şi anume ”acoperirea cu sirene electronice păstrând 12 locaţii vechi existente bine poziţionate, unele dintre ele schimbându-le între ele şi introducând 27 de locaţii noi ca şi propunere”.</w:t>
      </w:r>
    </w:p>
    <w:p w:rsidR="00B302E5" w:rsidRPr="00501207" w:rsidRDefault="00B302E5" w:rsidP="00501207">
      <w:pPr>
        <w:jc w:val="both"/>
        <w:rPr>
          <w:lang w:val="it-IT"/>
        </w:rPr>
      </w:pPr>
      <w:r w:rsidRPr="00FE5AE4">
        <w:rPr>
          <w:lang w:val="en-GB"/>
        </w:rPr>
        <w:tab/>
      </w:r>
      <w:hyperlink r:id="rId11" w:anchor="A286" w:tgtFrame="_blank" w:history="1">
        <w:r w:rsidRPr="00716455">
          <w:rPr>
            <w:rStyle w:val="Hyperlink"/>
            <w:color w:val="000000"/>
            <w:u w:val="none"/>
            <w:lang w:val="it-IT"/>
          </w:rPr>
          <w:t>Legea nr. 481/2004</w:t>
        </w:r>
      </w:hyperlink>
      <w:r>
        <w:rPr>
          <w:color w:val="000000"/>
          <w:lang w:val="it-IT"/>
        </w:rPr>
        <w:t xml:space="preserve"> republicată,</w:t>
      </w:r>
      <w:r w:rsidRPr="00716455">
        <w:rPr>
          <w:lang w:val="it-IT"/>
        </w:rPr>
        <w:t xml:space="preserve"> </w:t>
      </w:r>
      <w:r w:rsidRPr="00B60F18">
        <w:rPr>
          <w:lang w:val="it-IT"/>
        </w:rPr>
        <w:t>prevede</w:t>
      </w:r>
      <w:r w:rsidRPr="00716455">
        <w:rPr>
          <w:lang w:val="it-IT"/>
        </w:rPr>
        <w:t xml:space="preserve"> </w:t>
      </w:r>
      <w:r>
        <w:rPr>
          <w:lang w:val="it-IT"/>
        </w:rPr>
        <w:t>l</w:t>
      </w:r>
      <w:r w:rsidRPr="00716455">
        <w:rPr>
          <w:lang w:val="it-IT"/>
        </w:rPr>
        <w:t xml:space="preserve">a articolul 44 alin. </w:t>
      </w:r>
      <w:r w:rsidRPr="00B60F18">
        <w:rPr>
          <w:lang w:val="it-IT"/>
        </w:rPr>
        <w:t xml:space="preserve">(1) că folosirea mijloacelor de alarmare în cazul producerii unor dezastre se execută numai cu aprobarea primarului localităţii, a conducătorului instituţiei publice sau a operatorului economic implicat, după caz, ori a împuterniciţilor acestora, iar la </w:t>
      </w:r>
      <w:r w:rsidRPr="00716455">
        <w:rPr>
          <w:lang w:val="it-IT"/>
        </w:rPr>
        <w:t xml:space="preserve">articolul 44 </w:t>
      </w:r>
      <w:r w:rsidRPr="00B60F18">
        <w:rPr>
          <w:lang w:val="it-IT"/>
        </w:rPr>
        <w:t xml:space="preserve">alin. </w:t>
      </w:r>
      <w:r>
        <w:rPr>
          <w:lang w:val="it-IT"/>
        </w:rPr>
        <w:t>(2) că s</w:t>
      </w:r>
      <w:r w:rsidRPr="00501207">
        <w:rPr>
          <w:lang w:val="it-IT"/>
        </w:rPr>
        <w:t>istemul de înştiinţare, avertizare şi alarmare la localităţi, instituţii publice şi operatori economici se verifică periodic prin executarea de antrenamente şi exerciţii.</w:t>
      </w:r>
    </w:p>
    <w:p w:rsidR="00B302E5" w:rsidRPr="006E346D" w:rsidRDefault="00B302E5" w:rsidP="002F4C7A">
      <w:pPr>
        <w:jc w:val="both"/>
        <w:rPr>
          <w:color w:val="000000"/>
          <w:lang w:val="en-GB"/>
        </w:rPr>
      </w:pPr>
      <w:r w:rsidRPr="00EF5286">
        <w:rPr>
          <w:color w:val="000000"/>
          <w:lang w:val="ro-RO"/>
        </w:rPr>
        <w:tab/>
      </w:r>
      <w:r w:rsidRPr="006E346D">
        <w:rPr>
          <w:color w:val="000000"/>
          <w:lang w:val="en-GB"/>
        </w:rPr>
        <w:t xml:space="preserve">Conform prevederilor art. 21 alin. (1) </w:t>
      </w:r>
      <w:r>
        <w:rPr>
          <w:color w:val="000000"/>
          <w:lang w:val="ro-RO"/>
        </w:rPr>
        <w:t xml:space="preserve">şi </w:t>
      </w:r>
      <w:r w:rsidRPr="006E346D">
        <w:rPr>
          <w:color w:val="000000"/>
          <w:lang w:val="en-GB"/>
        </w:rPr>
        <w:t>alin. (2) din Ordinul nr. 1.259/2006 “Pentru alarmarea populaţiei se asigură din timp de pace, în localităţi, instituţii publice şi la operatori economici, sisteme şi mijloace de alarmare” şi “Autorităţile administraţiei publice centrale şi locale, conducătorii instituţiilor publice, patronii şi managerii operatorilor economici sursă de risc, indiferent de forma de proprietate, prevăd anual în bugetul propriu fonduri pentru cheltuielile necesare desfăşurării activităţilor de protecţie civilă, potrivit legii.”</w:t>
      </w:r>
    </w:p>
    <w:p w:rsidR="00B302E5" w:rsidRDefault="00B302E5" w:rsidP="00C562B4">
      <w:pPr>
        <w:tabs>
          <w:tab w:val="left" w:pos="709"/>
        </w:tabs>
        <w:jc w:val="both"/>
        <w:rPr>
          <w:bCs/>
          <w:iCs/>
          <w:caps/>
          <w:color w:val="FF0000"/>
        </w:rPr>
      </w:pPr>
    </w:p>
    <w:p w:rsidR="00B302E5" w:rsidRPr="00785A14" w:rsidRDefault="00B302E5" w:rsidP="00C562B4">
      <w:pPr>
        <w:tabs>
          <w:tab w:val="left" w:pos="709"/>
        </w:tabs>
        <w:jc w:val="both"/>
        <w:rPr>
          <w:bCs/>
          <w:iCs/>
          <w:caps/>
          <w:color w:val="FF0000"/>
        </w:rPr>
      </w:pPr>
    </w:p>
    <w:p w:rsidR="00B302E5" w:rsidRPr="00FE5AE4" w:rsidRDefault="00B302E5" w:rsidP="00C562B4">
      <w:pPr>
        <w:jc w:val="both"/>
        <w:rPr>
          <w:b/>
          <w:color w:val="000000"/>
        </w:rPr>
      </w:pPr>
      <w:r w:rsidRPr="00350C35">
        <w:rPr>
          <w:color w:val="000000"/>
        </w:rPr>
        <w:tab/>
      </w:r>
      <w:r>
        <w:rPr>
          <w:b/>
          <w:color w:val="000000"/>
        </w:rPr>
        <w:t>2. Schimbă</w:t>
      </w:r>
      <w:r w:rsidRPr="00FE5AE4">
        <w:rPr>
          <w:b/>
          <w:color w:val="000000"/>
        </w:rPr>
        <w:t>ri preconizate şi rezultate aşteptate</w:t>
      </w:r>
    </w:p>
    <w:p w:rsidR="00B302E5" w:rsidRPr="00FE5AE4" w:rsidRDefault="00B302E5" w:rsidP="00C562B4">
      <w:pPr>
        <w:jc w:val="both"/>
        <w:rPr>
          <w:color w:val="FF0000"/>
        </w:rPr>
      </w:pPr>
    </w:p>
    <w:p w:rsidR="00B302E5" w:rsidRPr="00F31592" w:rsidRDefault="00B302E5" w:rsidP="00877E7B">
      <w:pPr>
        <w:jc w:val="both"/>
        <w:rPr>
          <w:lang w:val="ro-RO"/>
        </w:rPr>
      </w:pPr>
      <w:r w:rsidRPr="00FE5AE4">
        <w:tab/>
        <w:t>Conform s</w:t>
      </w:r>
      <w:r>
        <w:rPr>
          <w:lang w:val="ro-RO"/>
        </w:rPr>
        <w:t xml:space="preserve">tudiului de audibilitate întocmit </w:t>
      </w:r>
      <w:r w:rsidRPr="00FE5AE4">
        <w:t xml:space="preserve">la nivelul </w:t>
      </w:r>
      <w:r w:rsidRPr="004A06DC">
        <w:rPr>
          <w:lang w:val="ro-RO"/>
        </w:rPr>
        <w:t>Municipiului Timişoara</w:t>
      </w:r>
      <w:r>
        <w:rPr>
          <w:lang w:val="ro-RO"/>
        </w:rPr>
        <w:t xml:space="preserve"> de SC TOPGES PROIECT SRL proiect nr. 18</w:t>
      </w:r>
      <w:r w:rsidRPr="004A06DC">
        <w:rPr>
          <w:lang w:val="ro-RO"/>
        </w:rPr>
        <w:t>/2016</w:t>
      </w:r>
      <w:r>
        <w:rPr>
          <w:lang w:val="ro-RO"/>
        </w:rPr>
        <w:t xml:space="preserve"> se precizează că </w:t>
      </w:r>
      <w:r w:rsidRPr="009C469A">
        <w:rPr>
          <w:lang w:val="ro-RO"/>
        </w:rPr>
        <w:t xml:space="preserve">“Având în vedere dinamica generală remarcabilă a municipiului, conform măsurătorilor efectuate, se recomandă pentru completarea şi reconfigurarea sistemului de înştiinţare-alarmare din municipiul Timişoara, </w:t>
      </w:r>
      <w:r w:rsidRPr="009C469A">
        <w:rPr>
          <w:u w:val="single"/>
          <w:lang w:val="ro-RO"/>
        </w:rPr>
        <w:t>achiziţionarea a 7 sirene electronice de 600W şi a 20 de sirene electronice de 1200W</w:t>
      </w:r>
      <w:r w:rsidRPr="009C469A">
        <w:rPr>
          <w:lang w:val="ro-RO"/>
        </w:rPr>
        <w:t>, care să asigure la un număr relativ mic de sirene pe ansamblu (39 unităţi pentru tot sistemul) transmiterea semnalelor de alarmare şi mesajelor vocale la o presiune acustică superioară faţă de nivelul maxim al zgomotului ambient cu cel puţin 6dB.”</w:t>
      </w:r>
    </w:p>
    <w:p w:rsidR="00B302E5" w:rsidRPr="00FE5AE4" w:rsidRDefault="00B302E5" w:rsidP="006E346D">
      <w:pPr>
        <w:jc w:val="both"/>
      </w:pPr>
      <w:r w:rsidRPr="00FE5AE4">
        <w:tab/>
        <w:t xml:space="preserve">In conformitate cu Ordinul </w:t>
      </w:r>
      <w:r w:rsidRPr="00FE5AE4">
        <w:rPr>
          <w:color w:val="000000"/>
        </w:rPr>
        <w:t>Ministerul Adimistraţiei şi Internelor</w:t>
      </w:r>
      <w:r w:rsidRPr="00FE5AE4">
        <w:t xml:space="preserve"> nr. 886 din 30 septembrie 2005 pentru aprobarea Normelor tehnice privind Sistemul naţional integrat de înştiinţare, avertizare şi alarmare a populaţiei, echipamentele electronice de avertizare şi alarmare a populaţiei, precizate în</w:t>
      </w:r>
      <w:r w:rsidRPr="00616B52">
        <w:rPr>
          <w:lang w:val="ro-RO"/>
        </w:rPr>
        <w:t xml:space="preserve"> </w:t>
      </w:r>
      <w:r>
        <w:rPr>
          <w:lang w:val="ro-RO"/>
        </w:rPr>
        <w:t>studiul de audibilitate, trebuie să asigure interoperabilitatea (compatibilitatea) cu echipamentele deja existente ale sistemului, instalate la nivelul dispeceratului Inspectoratului pentru Situaţii de Urgenţă „Banat” al judeţului Timiş, pentru a fi integrate, ulterior, în sistemul naţional de înştiinţare şi alarmare, aşa cum rezultă şi din adresa nr.20042/Bucureşti/19.01.2017 a</w:t>
      </w:r>
      <w:r w:rsidRPr="00FE5AE4">
        <w:t xml:space="preserve"> Inspectoratului General pentru Situaţii de Urgenţă, </w:t>
      </w:r>
      <w:r>
        <w:rPr>
          <w:lang w:val="ro-RO"/>
        </w:rPr>
        <w:t xml:space="preserve">înregistrată la Primăria Municipiului Timişoara sub </w:t>
      </w:r>
      <w:r w:rsidRPr="00FE5AE4">
        <w:t>nr. SC2017-001922/</w:t>
      </w:r>
      <w:r>
        <w:rPr>
          <w:lang w:val="ro-RO"/>
        </w:rPr>
        <w:t>26.01.2017.</w:t>
      </w:r>
    </w:p>
    <w:p w:rsidR="00B302E5" w:rsidRPr="00FE5AE4" w:rsidRDefault="00B302E5" w:rsidP="005C2147">
      <w:pPr>
        <w:jc w:val="both"/>
        <w:rPr>
          <w:color w:val="000000"/>
        </w:rPr>
      </w:pPr>
      <w:r w:rsidRPr="00FE5AE4">
        <w:rPr>
          <w:color w:val="000000"/>
        </w:rPr>
        <w:tab/>
        <w:t>Sistemul integrat de avertizare şi alarmare are ca destinaţie asigurarea suportului fizic şi logic pentru aplicarea, conform </w:t>
      </w:r>
      <w:hyperlink r:id="rId12" w:history="1">
        <w:r w:rsidRPr="00FE5AE4">
          <w:rPr>
            <w:rStyle w:val="Hyperlink"/>
            <w:color w:val="000000"/>
            <w:u w:val="none"/>
          </w:rPr>
          <w:t>Legii nr. 481/2004</w:t>
        </w:r>
      </w:hyperlink>
      <w:r w:rsidRPr="00FE5AE4">
        <w:rPr>
          <w:color w:val="000000"/>
        </w:rPr>
        <w:t xml:space="preserve"> privind protecţia civilă, republicată, a măsurilor de prevenire şi protecţie a populaţiei, precum şi a bunurilor materiale, valorilor de patrimoniu şi mediului, în cazul iminenţei producerii dezastrelor sau atacurilor aeriene, prin transmiterea mesajelor şi semnalelor către autorităţile administraţiei publice centrale şi locale, precum şi a populaţiei, conform Metodologiei transmiterii mesajelor de înştiinţare, avertizare şi alarmare despre situaţii de urgenţă.</w:t>
      </w:r>
    </w:p>
    <w:p w:rsidR="00B302E5" w:rsidRPr="007757B9" w:rsidRDefault="00B302E5" w:rsidP="005C2147">
      <w:pPr>
        <w:jc w:val="both"/>
        <w:rPr>
          <w:color w:val="000000"/>
        </w:rPr>
      </w:pPr>
      <w:r w:rsidRPr="00FE5AE4">
        <w:rPr>
          <w:color w:val="000000"/>
        </w:rPr>
        <w:lastRenderedPageBreak/>
        <w:tab/>
      </w:r>
      <w:r w:rsidRPr="007757B9">
        <w:rPr>
          <w:color w:val="000000"/>
        </w:rPr>
        <w:t>Sistemul integrat de avertizare şi alarmare are ca scop integrarea subsistemelor distribuite actualmente pe teritoriul naţional, într-un sistem unitar, în vederea facilitării acţionării ierarhice de la nivel central la nivel local şi aplicării unitare a planurilor şi procedurilor specifice, eliminându-se astfel paralelismele şi disfuncţionalităţile de comunicare care apar într-un ansamblu de sisteme distribuite cu funcţionare independentă.</w:t>
      </w:r>
    </w:p>
    <w:p w:rsidR="00B302E5" w:rsidRPr="007757B9" w:rsidRDefault="00B302E5" w:rsidP="00943243">
      <w:pPr>
        <w:jc w:val="both"/>
      </w:pPr>
    </w:p>
    <w:p w:rsidR="00B302E5" w:rsidRPr="007757B9" w:rsidRDefault="00B302E5" w:rsidP="00943243">
      <w:pPr>
        <w:rPr>
          <w:b/>
        </w:rPr>
      </w:pPr>
    </w:p>
    <w:p w:rsidR="00B302E5" w:rsidRPr="00E3460C" w:rsidRDefault="00B302E5" w:rsidP="00943243">
      <w:pPr>
        <w:rPr>
          <w:b/>
          <w:lang w:val="en-GB"/>
        </w:rPr>
      </w:pPr>
      <w:r w:rsidRPr="007757B9">
        <w:rPr>
          <w:b/>
        </w:rPr>
        <w:tab/>
      </w:r>
      <w:r>
        <w:rPr>
          <w:b/>
          <w:lang w:val="en-GB"/>
        </w:rPr>
        <w:t>3</w:t>
      </w:r>
      <w:r w:rsidRPr="00E3460C">
        <w:rPr>
          <w:b/>
          <w:lang w:val="en-GB"/>
        </w:rPr>
        <w:t>. Concluzii</w:t>
      </w:r>
    </w:p>
    <w:p w:rsidR="00B302E5" w:rsidRPr="00E3460C" w:rsidRDefault="00B302E5" w:rsidP="00943243">
      <w:pPr>
        <w:jc w:val="both"/>
        <w:rPr>
          <w:lang w:val="en-GB"/>
        </w:rPr>
      </w:pPr>
    </w:p>
    <w:p w:rsidR="00B302E5" w:rsidRDefault="00B302E5" w:rsidP="00E809BC">
      <w:pPr>
        <w:jc w:val="both"/>
      </w:pPr>
      <w:r w:rsidRPr="00E3460C">
        <w:rPr>
          <w:lang w:val="en-GB"/>
        </w:rPr>
        <w:tab/>
      </w:r>
      <w:r>
        <w:rPr>
          <w:lang w:val="en-GB"/>
        </w:rPr>
        <w:t>Având în vedere</w:t>
      </w:r>
      <w:r>
        <w:t>:</w:t>
      </w:r>
    </w:p>
    <w:p w:rsidR="00B302E5" w:rsidRPr="00FD4E92" w:rsidRDefault="00B302E5" w:rsidP="00E809BC">
      <w:pPr>
        <w:jc w:val="both"/>
        <w:rPr>
          <w:color w:val="000000"/>
          <w:lang w:val="ro-RO"/>
        </w:rPr>
      </w:pPr>
      <w:r>
        <w:tab/>
      </w:r>
      <w:r>
        <w:rPr>
          <w:lang w:val="ro-RO"/>
        </w:rPr>
        <w:t xml:space="preserve">- </w:t>
      </w:r>
      <w:r w:rsidRPr="005138EE">
        <w:rPr>
          <w:lang w:val="en-GB"/>
        </w:rPr>
        <w:t xml:space="preserve">prevederile art. 38, art. 41 alin. </w:t>
      </w:r>
      <w:r w:rsidRPr="00E3460C">
        <w:rPr>
          <w:lang w:val="en-GB"/>
        </w:rPr>
        <w:t xml:space="preserve">(2),  art. 42 alin. (1),  art. 44 alin. (1) şi alin. </w:t>
      </w:r>
      <w:r w:rsidRPr="005058C0">
        <w:rPr>
          <w:lang w:val="en-GB"/>
        </w:rPr>
        <w:t xml:space="preserve">(2) din </w:t>
      </w:r>
      <w:hyperlink r:id="rId13" w:anchor="A286" w:tgtFrame="_blank" w:history="1">
        <w:r w:rsidRPr="005058C0">
          <w:rPr>
            <w:rStyle w:val="Hyperlink"/>
            <w:color w:val="000000"/>
            <w:u w:val="none"/>
            <w:lang w:val="en-GB"/>
          </w:rPr>
          <w:t>Legea nr. 481/2004</w:t>
        </w:r>
      </w:hyperlink>
      <w:r w:rsidRPr="005058C0">
        <w:rPr>
          <w:color w:val="000000"/>
          <w:lang w:val="en-GB"/>
        </w:rPr>
        <w:t> privind protecţia civilă, republicată,</w:t>
      </w:r>
      <w:r w:rsidRPr="00844CB1">
        <w:rPr>
          <w:color w:val="000000"/>
          <w:lang w:val="ro-RO"/>
        </w:rPr>
        <w:t xml:space="preserve"> cu modificările şi completările ulterioare</w:t>
      </w:r>
      <w:r>
        <w:rPr>
          <w:color w:val="000000"/>
          <w:lang w:val="ro-RO"/>
        </w:rPr>
        <w:t>;</w:t>
      </w:r>
    </w:p>
    <w:p w:rsidR="00B302E5" w:rsidRDefault="00B302E5" w:rsidP="00E809BC">
      <w:pPr>
        <w:jc w:val="both"/>
        <w:rPr>
          <w:color w:val="000000"/>
          <w:lang w:val="ro-RO"/>
        </w:rPr>
      </w:pPr>
      <w:r>
        <w:rPr>
          <w:color w:val="000000"/>
          <w:lang w:val="ro-RO"/>
        </w:rPr>
        <w:tab/>
        <w:t xml:space="preserve">- </w:t>
      </w:r>
      <w:r w:rsidRPr="00024E7F">
        <w:rPr>
          <w:color w:val="000000"/>
          <w:lang w:val="ro-RO"/>
        </w:rPr>
        <w:t>Normele privind organizarea şi asigurarea activităţii de înştiinţare, avertizare, prealarmare şi alarmare în situaţii de protecţie civilă, aprobate prin Ordinul M.A.I. nr. 1.259/2006</w:t>
      </w:r>
      <w:r>
        <w:rPr>
          <w:color w:val="000000"/>
          <w:lang w:val="ro-RO"/>
        </w:rPr>
        <w:t>;</w:t>
      </w:r>
    </w:p>
    <w:p w:rsidR="00B302E5" w:rsidRDefault="00B302E5" w:rsidP="00E809BC">
      <w:pPr>
        <w:jc w:val="both"/>
        <w:rPr>
          <w:lang w:val="ro-RO"/>
        </w:rPr>
      </w:pPr>
      <w:r>
        <w:rPr>
          <w:lang w:val="ro-RO"/>
        </w:rPr>
        <w:tab/>
        <w:t>- Normele</w:t>
      </w:r>
      <w:r w:rsidRPr="00024E7F">
        <w:rPr>
          <w:lang w:val="ro-RO"/>
        </w:rPr>
        <w:t xml:space="preserve"> tehnice privind Sistemul naţional integrat de înştiinţare, aver</w:t>
      </w:r>
      <w:r>
        <w:rPr>
          <w:lang w:val="ro-RO"/>
        </w:rPr>
        <w:t>tizare şi alarmare a populaţiei, aprobate prin</w:t>
      </w:r>
      <w:r w:rsidRPr="00024E7F">
        <w:rPr>
          <w:color w:val="000000"/>
          <w:lang w:val="ro-RO"/>
        </w:rPr>
        <w:t xml:space="preserve"> </w:t>
      </w:r>
      <w:r w:rsidRPr="00024E7F">
        <w:rPr>
          <w:lang w:val="ro-RO"/>
        </w:rPr>
        <w:t xml:space="preserve">Ordinul </w:t>
      </w:r>
      <w:r w:rsidRPr="00024E7F">
        <w:rPr>
          <w:color w:val="000000"/>
          <w:lang w:val="ro-RO"/>
        </w:rPr>
        <w:t xml:space="preserve">M.A.I. </w:t>
      </w:r>
      <w:r w:rsidRPr="00024E7F">
        <w:rPr>
          <w:lang w:val="ro-RO"/>
        </w:rPr>
        <w:t>nr. 886/</w:t>
      </w:r>
      <w:r>
        <w:rPr>
          <w:lang w:val="ro-RO"/>
        </w:rPr>
        <w:t>2005;</w:t>
      </w:r>
    </w:p>
    <w:p w:rsidR="00B302E5" w:rsidRDefault="00B302E5" w:rsidP="00E809BC">
      <w:pPr>
        <w:jc w:val="both"/>
        <w:rPr>
          <w:lang w:val="ro-RO"/>
        </w:rPr>
      </w:pPr>
      <w:r>
        <w:rPr>
          <w:lang w:val="ro-RO"/>
        </w:rPr>
        <w:tab/>
        <w:t>- prevederile</w:t>
      </w:r>
      <w:r w:rsidRPr="00024E7F">
        <w:rPr>
          <w:lang w:val="ro-RO"/>
        </w:rPr>
        <w:t xml:space="preserve"> </w:t>
      </w:r>
      <w:r w:rsidRPr="00024E7F">
        <w:rPr>
          <w:color w:val="000000"/>
          <w:lang w:val="ro-RO"/>
        </w:rPr>
        <w:t xml:space="preserve">art. 21 alineatele (1) şi (2) şi </w:t>
      </w:r>
      <w:r w:rsidRPr="00024E7F">
        <w:rPr>
          <w:lang w:val="ro-RO"/>
        </w:rPr>
        <w:t>art. 22 din Ordi</w:t>
      </w:r>
      <w:r>
        <w:rPr>
          <w:lang w:val="ro-RO"/>
        </w:rPr>
        <w:t>nul M.A.I. nr. 1.259/2006;</w:t>
      </w:r>
    </w:p>
    <w:p w:rsidR="00B302E5" w:rsidRPr="007951F4" w:rsidRDefault="00B302E5" w:rsidP="00E809BC">
      <w:pPr>
        <w:jc w:val="both"/>
        <w:rPr>
          <w:lang w:val="ro-RO"/>
        </w:rPr>
      </w:pPr>
      <w:r>
        <w:rPr>
          <w:lang w:val="ro-RO"/>
        </w:rPr>
        <w:tab/>
        <w:t xml:space="preserve">- Studiul de audibilitate întocmit </w:t>
      </w:r>
      <w:r w:rsidRPr="00024E7F">
        <w:rPr>
          <w:lang w:val="ro-RO"/>
        </w:rPr>
        <w:t xml:space="preserve">la nivelul </w:t>
      </w:r>
      <w:r w:rsidRPr="004A06DC">
        <w:rPr>
          <w:lang w:val="ro-RO"/>
        </w:rPr>
        <w:t>Municipiului Timişoara</w:t>
      </w:r>
      <w:r>
        <w:rPr>
          <w:lang w:val="ro-RO"/>
        </w:rPr>
        <w:t xml:space="preserve"> de SC TOPGES PROIECT SRL proiect nr. 18</w:t>
      </w:r>
      <w:r w:rsidRPr="004A06DC">
        <w:rPr>
          <w:lang w:val="ro-RO"/>
        </w:rPr>
        <w:t>/2016</w:t>
      </w:r>
      <w:r w:rsidRPr="00024E7F">
        <w:rPr>
          <w:lang w:val="ro-RO"/>
        </w:rPr>
        <w:t>,</w:t>
      </w:r>
      <w:r>
        <w:rPr>
          <w:lang w:val="ro-RO"/>
        </w:rPr>
        <w:t xml:space="preserve"> avizat favorabil de ISU „Banat” al judeţului Timiş;</w:t>
      </w:r>
    </w:p>
    <w:p w:rsidR="00B302E5" w:rsidRDefault="00B302E5" w:rsidP="00943243">
      <w:pPr>
        <w:jc w:val="both"/>
        <w:rPr>
          <w:lang w:val="ro-RO"/>
        </w:rPr>
      </w:pPr>
      <w:r>
        <w:rPr>
          <w:lang w:val="ro-RO"/>
        </w:rPr>
        <w:tab/>
        <w:t>- A</w:t>
      </w:r>
      <w:r w:rsidRPr="000E43E0">
        <w:rPr>
          <w:lang w:val="ro-RO"/>
        </w:rPr>
        <w:t>dresa</w:t>
      </w:r>
      <w:r>
        <w:rPr>
          <w:lang w:val="ro-RO"/>
        </w:rPr>
        <w:t xml:space="preserve"> </w:t>
      </w:r>
      <w:r w:rsidRPr="000E43E0">
        <w:rPr>
          <w:lang w:val="ro-RO"/>
        </w:rPr>
        <w:t>Inspectoratul</w:t>
      </w:r>
      <w:r>
        <w:rPr>
          <w:lang w:val="ro-RO"/>
        </w:rPr>
        <w:t>ui</w:t>
      </w:r>
      <w:r w:rsidRPr="000E43E0">
        <w:rPr>
          <w:lang w:val="ro-RO"/>
        </w:rPr>
        <w:t xml:space="preserve"> General pentru Situaţii de Urgenţă</w:t>
      </w:r>
      <w:r>
        <w:rPr>
          <w:lang w:val="ro-RO"/>
        </w:rPr>
        <w:t xml:space="preserve"> nr.20042/Bucureşti/19.01.2017,</w:t>
      </w:r>
      <w:r w:rsidRPr="000E43E0">
        <w:rPr>
          <w:lang w:val="ro-RO"/>
        </w:rPr>
        <w:t xml:space="preserve"> </w:t>
      </w:r>
      <w:r>
        <w:rPr>
          <w:lang w:val="ro-RO"/>
        </w:rPr>
        <w:t>înregistrată la Primăria Municipiului Timişoara</w:t>
      </w:r>
      <w:r w:rsidRPr="000E43E0">
        <w:rPr>
          <w:lang w:val="ro-RO"/>
        </w:rPr>
        <w:t xml:space="preserve"> cu nr. SC2017-001922/</w:t>
      </w:r>
      <w:r>
        <w:rPr>
          <w:lang w:val="ro-RO"/>
        </w:rPr>
        <w:t>26.01.2017;</w:t>
      </w:r>
    </w:p>
    <w:p w:rsidR="00B302E5" w:rsidRPr="000E43E0" w:rsidRDefault="00B302E5" w:rsidP="00943243">
      <w:pPr>
        <w:jc w:val="both"/>
        <w:rPr>
          <w:lang w:val="ro-RO"/>
        </w:rPr>
      </w:pPr>
      <w:r>
        <w:rPr>
          <w:lang w:val="ro-RO"/>
        </w:rPr>
        <w:tab/>
        <w:t>- A</w:t>
      </w:r>
      <w:r w:rsidRPr="00FE5AE4">
        <w:rPr>
          <w:lang w:val="ro-RO"/>
        </w:rPr>
        <w:t xml:space="preserve">dresa nr.20.042/02.2017 a Inspectoratului pentru Situaţii de Urgenţă </w:t>
      </w:r>
      <w:r>
        <w:rPr>
          <w:lang w:val="ro-RO"/>
        </w:rPr>
        <w:t>„Banat” al judeţului Timiş,</w:t>
      </w:r>
    </w:p>
    <w:p w:rsidR="00B302E5" w:rsidRDefault="00B302E5" w:rsidP="00943243">
      <w:pPr>
        <w:jc w:val="both"/>
        <w:rPr>
          <w:lang w:val="ro-RO"/>
        </w:rPr>
      </w:pPr>
      <w:r>
        <w:rPr>
          <w:lang w:val="ro-RO"/>
        </w:rPr>
        <w:tab/>
        <w:t xml:space="preserve">- alocarea bugetară pentru anul 2019, conform </w:t>
      </w:r>
      <w:r w:rsidRPr="007416D9">
        <w:rPr>
          <w:lang w:val="ro-RO"/>
        </w:rPr>
        <w:t>HCL nr.248/07.05.2019.</w:t>
      </w:r>
    </w:p>
    <w:p w:rsidR="00B302E5" w:rsidRDefault="00B302E5" w:rsidP="00943243">
      <w:pPr>
        <w:jc w:val="both"/>
        <w:rPr>
          <w:lang w:val="ro-RO"/>
        </w:rPr>
      </w:pPr>
    </w:p>
    <w:p w:rsidR="00B302E5" w:rsidRPr="00024E7F" w:rsidRDefault="00B302E5" w:rsidP="00943243">
      <w:pPr>
        <w:jc w:val="both"/>
        <w:rPr>
          <w:lang w:val="ro-RO"/>
        </w:rPr>
      </w:pPr>
    </w:p>
    <w:p w:rsidR="00B302E5" w:rsidRDefault="00B302E5" w:rsidP="00943243">
      <w:pPr>
        <w:jc w:val="both"/>
        <w:rPr>
          <w:spacing w:val="-1"/>
          <w:lang w:val="ro-RO"/>
        </w:rPr>
      </w:pPr>
      <w:r w:rsidRPr="00024E7F">
        <w:rPr>
          <w:b/>
          <w:i/>
          <w:lang w:val="ro-RO"/>
        </w:rPr>
        <w:tab/>
      </w:r>
      <w:r>
        <w:rPr>
          <w:b/>
          <w:i/>
          <w:lang w:val="ro-RO"/>
        </w:rPr>
        <w:t>C</w:t>
      </w:r>
      <w:r w:rsidRPr="002833AE">
        <w:rPr>
          <w:b/>
          <w:i/>
          <w:lang w:val="ro-RO"/>
        </w:rPr>
        <w:t>onsiderăm necesară şi oportună</w:t>
      </w:r>
      <w:r w:rsidRPr="002833AE">
        <w:rPr>
          <w:spacing w:val="-1"/>
          <w:lang w:val="ro-RO"/>
        </w:rPr>
        <w:t xml:space="preserve"> </w:t>
      </w:r>
    </w:p>
    <w:p w:rsidR="00B302E5" w:rsidRPr="00370634" w:rsidRDefault="00B302E5" w:rsidP="00B54F41">
      <w:pPr>
        <w:jc w:val="both"/>
        <w:rPr>
          <w:b/>
          <w:i/>
          <w:lang w:val="ro-RO"/>
        </w:rPr>
      </w:pPr>
      <w:r w:rsidRPr="00826287">
        <w:rPr>
          <w:b/>
          <w:i/>
          <w:lang w:val="ro-RO"/>
        </w:rPr>
        <w:tab/>
        <w:t>1.</w:t>
      </w:r>
      <w:r w:rsidRPr="00370634">
        <w:rPr>
          <w:b/>
          <w:i/>
          <w:lang w:val="ro-RO"/>
        </w:rPr>
        <w:t xml:space="preserve"> </w:t>
      </w:r>
      <w:r w:rsidR="00913B9E" w:rsidRPr="00913B9E">
        <w:rPr>
          <w:b/>
          <w:i/>
          <w:lang w:val="ro-RO"/>
        </w:rPr>
        <w:t>Însușirea</w:t>
      </w:r>
      <w:r w:rsidR="00913B9E">
        <w:rPr>
          <w:b/>
          <w:i/>
          <w:lang w:val="ro-RO"/>
        </w:rPr>
        <w:t xml:space="preserve"> </w:t>
      </w:r>
      <w:r w:rsidRPr="00826287">
        <w:rPr>
          <w:b/>
          <w:i/>
          <w:lang w:val="ro-RO"/>
        </w:rPr>
        <w:t>“</w:t>
      </w:r>
      <w:r w:rsidRPr="00370634">
        <w:rPr>
          <w:b/>
          <w:i/>
          <w:lang w:val="ro-RO"/>
        </w:rPr>
        <w:t>Studiului de audibilitate în vederea dezvoltării şi completării sistemului de înştiinţare-alarmare în situaţii de protecţie civilă la nivelul Municipiului Timişoara” întocmit de SC TOPGES PROIECT SRL proiect nr. 18/2016</w:t>
      </w:r>
      <w:r w:rsidRPr="002B322A">
        <w:rPr>
          <w:b/>
          <w:i/>
          <w:color w:val="000000"/>
          <w:lang w:val="ro-RO"/>
        </w:rPr>
        <w:t xml:space="preserve"> care va face parte integrantă din hotărâre ţi va constitui Anexa 1</w:t>
      </w:r>
      <w:r w:rsidRPr="005107B4">
        <w:rPr>
          <w:b/>
          <w:i/>
          <w:lang w:val="ro-RO"/>
        </w:rPr>
        <w:t>;</w:t>
      </w:r>
    </w:p>
    <w:p w:rsidR="00B302E5" w:rsidRPr="00370634" w:rsidRDefault="00B302E5" w:rsidP="00B54F41">
      <w:pPr>
        <w:jc w:val="both"/>
        <w:rPr>
          <w:b/>
          <w:i/>
          <w:lang w:val="ro-RO"/>
        </w:rPr>
      </w:pPr>
      <w:r w:rsidRPr="00370634">
        <w:rPr>
          <w:b/>
          <w:i/>
          <w:lang w:val="ro-RO"/>
        </w:rPr>
        <w:tab/>
        <w:t>2.  Achiziţionarea a 7 sirene electronice de 600W şi a 20 de sirene electronice de 1200W</w:t>
      </w:r>
      <w:r w:rsidRPr="00246841">
        <w:rPr>
          <w:b/>
          <w:i/>
          <w:lang w:val="ro-RO"/>
        </w:rPr>
        <w:t xml:space="preserve"> </w:t>
      </w:r>
      <w:r>
        <w:rPr>
          <w:b/>
          <w:i/>
          <w:lang w:val="ro-RO"/>
        </w:rPr>
        <w:t>prevăzute în</w:t>
      </w:r>
      <w:r w:rsidRPr="00826287">
        <w:rPr>
          <w:b/>
          <w:i/>
          <w:lang w:val="ro-RO"/>
        </w:rPr>
        <w:t xml:space="preserve"> </w:t>
      </w:r>
      <w:r>
        <w:rPr>
          <w:b/>
          <w:i/>
          <w:lang w:val="ro-RO"/>
        </w:rPr>
        <w:t>studiul</w:t>
      </w:r>
      <w:r w:rsidRPr="00370634">
        <w:rPr>
          <w:b/>
          <w:i/>
          <w:lang w:val="ro-RO"/>
        </w:rPr>
        <w:t xml:space="preserve"> de audibilitate, pentru </w:t>
      </w:r>
      <w:r w:rsidRPr="00370634">
        <w:rPr>
          <w:b/>
          <w:i/>
          <w:lang w:val="it-IT"/>
        </w:rPr>
        <w:t xml:space="preserve">dezvoltarea, completarea şi </w:t>
      </w:r>
      <w:r w:rsidRPr="00370634">
        <w:rPr>
          <w:b/>
          <w:i/>
          <w:lang w:val="ro-RO"/>
        </w:rPr>
        <w:t>reconfigurarea sistemului de înştiinţare-alarmare din municipiul Timişoara;</w:t>
      </w:r>
    </w:p>
    <w:p w:rsidR="00B302E5" w:rsidRPr="00D02AF2" w:rsidRDefault="00B302E5" w:rsidP="00B54F41">
      <w:pPr>
        <w:jc w:val="both"/>
        <w:rPr>
          <w:b/>
          <w:i/>
          <w:lang w:val="ro-RO"/>
        </w:rPr>
      </w:pPr>
      <w:r w:rsidRPr="00370634">
        <w:rPr>
          <w:b/>
          <w:i/>
          <w:lang w:val="ro-RO"/>
        </w:rPr>
        <w:tab/>
        <w:t xml:space="preserve">3. Achiziţionarea în anul 2019 a 7 </w:t>
      </w:r>
      <w:r>
        <w:rPr>
          <w:b/>
          <w:i/>
          <w:lang w:val="ro-RO"/>
        </w:rPr>
        <w:t xml:space="preserve">dintre cele 20 de </w:t>
      </w:r>
      <w:r w:rsidRPr="00370634">
        <w:rPr>
          <w:b/>
          <w:i/>
          <w:lang w:val="ro-RO"/>
        </w:rPr>
        <w:t>sirene electronice de 1200W</w:t>
      </w:r>
      <w:r>
        <w:rPr>
          <w:b/>
          <w:i/>
          <w:lang w:val="ro-RO"/>
        </w:rPr>
        <w:t xml:space="preserve"> prevăzute în</w:t>
      </w:r>
      <w:r w:rsidRPr="00826287">
        <w:rPr>
          <w:b/>
          <w:i/>
          <w:lang w:val="ro-RO"/>
        </w:rPr>
        <w:t xml:space="preserve"> </w:t>
      </w:r>
      <w:r>
        <w:rPr>
          <w:b/>
          <w:i/>
          <w:lang w:val="ro-RO"/>
        </w:rPr>
        <w:t>studiul</w:t>
      </w:r>
      <w:r w:rsidRPr="00370634">
        <w:rPr>
          <w:b/>
          <w:i/>
          <w:lang w:val="ro-RO"/>
        </w:rPr>
        <w:t xml:space="preserve"> de audibilitate, având în veder</w:t>
      </w:r>
      <w:r>
        <w:rPr>
          <w:b/>
          <w:i/>
          <w:lang w:val="ro-RO"/>
        </w:rPr>
        <w:t>e alocarea bugetară pentru</w:t>
      </w:r>
      <w:r w:rsidRPr="00370634">
        <w:rPr>
          <w:b/>
          <w:i/>
          <w:lang w:val="ro-RO"/>
        </w:rPr>
        <w:t xml:space="preserve"> an</w:t>
      </w:r>
      <w:r>
        <w:rPr>
          <w:b/>
          <w:i/>
          <w:lang w:val="ro-RO"/>
        </w:rPr>
        <w:t>ul 2019</w:t>
      </w:r>
      <w:r w:rsidRPr="002B322A">
        <w:rPr>
          <w:b/>
          <w:i/>
          <w:lang w:val="ro-RO"/>
        </w:rPr>
        <w:t>, suma estimată fiind în valoare de 441.160 lei, aprobată prin HCL nr.248/07.05.2019</w:t>
      </w:r>
      <w:r w:rsidRPr="00D02AF2">
        <w:rPr>
          <w:b/>
          <w:i/>
          <w:lang w:val="ro-RO"/>
        </w:rPr>
        <w:t xml:space="preserve"> pentru investiţii. </w:t>
      </w:r>
    </w:p>
    <w:p w:rsidR="00B302E5" w:rsidRPr="002833AE" w:rsidRDefault="00B302E5" w:rsidP="00B614D7">
      <w:pPr>
        <w:rPr>
          <w:lang w:val="ro-RO"/>
        </w:rPr>
      </w:pPr>
    </w:p>
    <w:p w:rsidR="00B302E5" w:rsidRPr="002833AE" w:rsidRDefault="00B302E5" w:rsidP="00B614D7">
      <w:pPr>
        <w:rPr>
          <w:lang w:val="ro-RO"/>
        </w:rPr>
      </w:pPr>
    </w:p>
    <w:p w:rsidR="00B302E5" w:rsidRPr="00826287" w:rsidRDefault="00B302E5" w:rsidP="00B614D7">
      <w:pPr>
        <w:rPr>
          <w:b/>
          <w:lang w:val="ro-RO"/>
        </w:rPr>
      </w:pPr>
      <w:r w:rsidRPr="002833AE">
        <w:rPr>
          <w:b/>
          <w:lang w:val="ro-RO"/>
        </w:rPr>
        <w:tab/>
      </w:r>
      <w:r w:rsidRPr="00826287">
        <w:rPr>
          <w:b/>
          <w:lang w:val="ro-RO"/>
        </w:rPr>
        <w:t>PRIMAR,</w:t>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t>VICEPRIMAR</w:t>
      </w:r>
      <w:r w:rsidRPr="00826287">
        <w:rPr>
          <w:b/>
          <w:lang w:val="ro-RO"/>
        </w:rPr>
        <w:tab/>
      </w:r>
      <w:r w:rsidRPr="00826287">
        <w:rPr>
          <w:b/>
          <w:lang w:val="ro-RO"/>
        </w:rPr>
        <w:tab/>
      </w:r>
      <w:r w:rsidRPr="00826287">
        <w:rPr>
          <w:b/>
          <w:lang w:val="ro-RO"/>
        </w:rPr>
        <w:tab/>
      </w:r>
      <w:r w:rsidRPr="00826287">
        <w:rPr>
          <w:b/>
          <w:lang w:val="ro-RO"/>
        </w:rPr>
        <w:tab/>
        <w:t xml:space="preserve">                       </w:t>
      </w:r>
    </w:p>
    <w:p w:rsidR="00B302E5" w:rsidRPr="00826287" w:rsidRDefault="00B302E5" w:rsidP="00B614D7">
      <w:pPr>
        <w:rPr>
          <w:b/>
          <w:lang w:val="ro-RO"/>
        </w:rPr>
      </w:pPr>
      <w:r w:rsidRPr="00826287">
        <w:rPr>
          <w:b/>
          <w:lang w:val="ro-RO"/>
        </w:rPr>
        <w:tab/>
        <w:t>NICOLAE ROBU</w:t>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t>FARKAS IMRE</w:t>
      </w:r>
    </w:p>
    <w:p w:rsidR="00B302E5" w:rsidRPr="00826287" w:rsidRDefault="00B302E5" w:rsidP="00B614D7">
      <w:pPr>
        <w:rPr>
          <w:b/>
          <w:lang w:val="ro-RO"/>
        </w:rPr>
      </w:pPr>
    </w:p>
    <w:p w:rsidR="00B302E5" w:rsidRPr="00826287" w:rsidRDefault="00B302E5" w:rsidP="00B614D7">
      <w:pPr>
        <w:rPr>
          <w:b/>
          <w:lang w:val="ro-RO"/>
        </w:rPr>
      </w:pP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r w:rsidRPr="00826287">
        <w:rPr>
          <w:b/>
          <w:lang w:val="ro-RO"/>
        </w:rPr>
        <w:tab/>
      </w:r>
    </w:p>
    <w:p w:rsidR="00B302E5" w:rsidRPr="00826287" w:rsidRDefault="00B302E5" w:rsidP="00B614D7">
      <w:pPr>
        <w:rPr>
          <w:b/>
          <w:lang w:val="ro-RO"/>
        </w:rPr>
      </w:pPr>
    </w:p>
    <w:p w:rsidR="00B302E5" w:rsidRPr="00826287" w:rsidRDefault="00B302E5" w:rsidP="00B614D7">
      <w:pPr>
        <w:rPr>
          <w:b/>
          <w:lang w:val="ro-RO"/>
        </w:rPr>
      </w:pPr>
    </w:p>
    <w:p w:rsidR="00B302E5" w:rsidRPr="00826287" w:rsidRDefault="00B302E5" w:rsidP="005E5732">
      <w:pPr>
        <w:jc w:val="both"/>
        <w:rPr>
          <w:b/>
          <w:color w:val="FF0000"/>
          <w:lang w:val="ro-RO"/>
        </w:rPr>
      </w:pPr>
    </w:p>
    <w:sectPr w:rsidR="00B302E5" w:rsidRPr="00826287" w:rsidSect="00715C0C">
      <w:footerReference w:type="default" r:id="rId14"/>
      <w:pgSz w:w="11906" w:h="16838"/>
      <w:pgMar w:top="284"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5FC" w:rsidRDefault="001A45FC" w:rsidP="004526EF">
      <w:r>
        <w:separator/>
      </w:r>
    </w:p>
  </w:endnote>
  <w:endnote w:type="continuationSeparator" w:id="0">
    <w:p w:rsidR="001A45FC" w:rsidRDefault="001A45FC" w:rsidP="00452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2E5" w:rsidRDefault="00B302E5" w:rsidP="004526EF">
    <w:pPr>
      <w:pStyle w:val="Footer"/>
    </w:pPr>
    <w:r>
      <w:t xml:space="preserve">                                                                                </w:t>
    </w:r>
    <w:fldSimple w:instr=" PAGE   \* MERGEFORMAT ">
      <w:r w:rsidR="003C6FE2">
        <w:rPr>
          <w:noProof/>
        </w:rPr>
        <w:t>1</w:t>
      </w:r>
    </w:fldSimple>
    <w:r w:rsidRPr="004526EF">
      <w:rPr>
        <w:lang w:val="ro-RO"/>
      </w:rPr>
      <w:t xml:space="preserve"> </w:t>
    </w:r>
    <w:r>
      <w:rPr>
        <w:lang w:val="ro-RO"/>
      </w:rPr>
      <w:t xml:space="preserve">                                                          </w:t>
    </w:r>
    <w:r w:rsidRPr="005D0AF1">
      <w:rPr>
        <w:lang w:val="ro-RO"/>
      </w:rPr>
      <w:t>FO53-03,Ver. 2</w:t>
    </w:r>
  </w:p>
  <w:p w:rsidR="00B302E5" w:rsidRDefault="00B302E5" w:rsidP="004526E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5FC" w:rsidRDefault="001A45FC" w:rsidP="004526EF">
      <w:r>
        <w:separator/>
      </w:r>
    </w:p>
  </w:footnote>
  <w:footnote w:type="continuationSeparator" w:id="0">
    <w:p w:rsidR="001A45FC" w:rsidRDefault="001A45FC" w:rsidP="00452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32FB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F2C43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5AAC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5FA1D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04A50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F2D4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6E10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8616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FC73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2238D6"/>
    <w:lvl w:ilvl="0">
      <w:start w:val="1"/>
      <w:numFmt w:val="bullet"/>
      <w:lvlText w:val=""/>
      <w:lvlJc w:val="left"/>
      <w:pPr>
        <w:tabs>
          <w:tab w:val="num" w:pos="360"/>
        </w:tabs>
        <w:ind w:left="360" w:hanging="360"/>
      </w:pPr>
      <w:rPr>
        <w:rFonts w:ascii="Symbol" w:hAnsi="Symbol" w:hint="default"/>
      </w:rPr>
    </w:lvl>
  </w:abstractNum>
  <w:abstractNum w:abstractNumId="10">
    <w:nsid w:val="4F3E3787"/>
    <w:multiLevelType w:val="hybridMultilevel"/>
    <w:tmpl w:val="4ADC57A8"/>
    <w:lvl w:ilvl="0" w:tplc="53766F1A">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0135964"/>
    <w:multiLevelType w:val="hybridMultilevel"/>
    <w:tmpl w:val="68366870"/>
    <w:lvl w:ilvl="0" w:tplc="289C6DD0">
      <w:start w:val="1"/>
      <w:numFmt w:val="upperRoman"/>
      <w:lvlText w:val="%1."/>
      <w:lvlJc w:val="left"/>
      <w:pPr>
        <w:tabs>
          <w:tab w:val="num" w:pos="1080"/>
        </w:tabs>
        <w:ind w:left="1080" w:hanging="720"/>
      </w:pPr>
      <w:rPr>
        <w:rFonts w:cs="Times New Roman"/>
        <w:sz w:val="36"/>
      </w:rPr>
    </w:lvl>
    <w:lvl w:ilvl="1" w:tplc="95625FA6">
      <w:numFmt w:val="bullet"/>
      <w:lvlText w:val="-"/>
      <w:lvlJc w:val="left"/>
      <w:pPr>
        <w:tabs>
          <w:tab w:val="num" w:pos="1440"/>
        </w:tabs>
        <w:ind w:left="1440" w:hanging="360"/>
      </w:pPr>
      <w:rPr>
        <w:rFonts w:ascii="Times New Roman" w:eastAsia="Times New Roman" w:hAnsi="Times New Roman" w:hint="default"/>
      </w:rPr>
    </w:lvl>
    <w:lvl w:ilvl="2" w:tplc="2BDABE3E">
      <w:start w:val="1"/>
      <w:numFmt w:val="decimal"/>
      <w:lvlText w:val="%3)"/>
      <w:lvlJc w:val="left"/>
      <w:pPr>
        <w:tabs>
          <w:tab w:val="num" w:pos="2340"/>
        </w:tabs>
        <w:ind w:left="2340" w:hanging="360"/>
      </w:pPr>
      <w:rPr>
        <w:rFonts w:cs="Times New Roman"/>
        <w:b/>
        <w:i/>
        <w:sz w:val="28"/>
        <w:szCs w:val="28"/>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1"/>
  </w:num>
  <w:num w:numId="2">
    <w:abstractNumId w:val="12"/>
  </w:num>
  <w:num w:numId="3">
    <w:abstractNumId w:val="1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732"/>
    <w:rsid w:val="000011F5"/>
    <w:rsid w:val="000058B8"/>
    <w:rsid w:val="00005FEE"/>
    <w:rsid w:val="00011457"/>
    <w:rsid w:val="0002246D"/>
    <w:rsid w:val="00024E7F"/>
    <w:rsid w:val="00030B3B"/>
    <w:rsid w:val="00045AD1"/>
    <w:rsid w:val="00051E27"/>
    <w:rsid w:val="000618AF"/>
    <w:rsid w:val="00071A95"/>
    <w:rsid w:val="00081270"/>
    <w:rsid w:val="00081D1A"/>
    <w:rsid w:val="00083483"/>
    <w:rsid w:val="00092864"/>
    <w:rsid w:val="000941FC"/>
    <w:rsid w:val="0009579E"/>
    <w:rsid w:val="000A189C"/>
    <w:rsid w:val="000A5FAC"/>
    <w:rsid w:val="000A7512"/>
    <w:rsid w:val="000B24B8"/>
    <w:rsid w:val="000B5110"/>
    <w:rsid w:val="000C1DB6"/>
    <w:rsid w:val="000C4119"/>
    <w:rsid w:val="000E261E"/>
    <w:rsid w:val="000E43E0"/>
    <w:rsid w:val="000F7040"/>
    <w:rsid w:val="00101E32"/>
    <w:rsid w:val="00114AFA"/>
    <w:rsid w:val="00124763"/>
    <w:rsid w:val="001264AE"/>
    <w:rsid w:val="00127BE7"/>
    <w:rsid w:val="001300A2"/>
    <w:rsid w:val="00134FB9"/>
    <w:rsid w:val="001364AA"/>
    <w:rsid w:val="00140936"/>
    <w:rsid w:val="001437BD"/>
    <w:rsid w:val="0014533A"/>
    <w:rsid w:val="00145F78"/>
    <w:rsid w:val="00146A25"/>
    <w:rsid w:val="0014778E"/>
    <w:rsid w:val="00150F93"/>
    <w:rsid w:val="001549A8"/>
    <w:rsid w:val="00166B91"/>
    <w:rsid w:val="001737C3"/>
    <w:rsid w:val="00180B89"/>
    <w:rsid w:val="00181DA8"/>
    <w:rsid w:val="00182C3E"/>
    <w:rsid w:val="001A45FC"/>
    <w:rsid w:val="001A6878"/>
    <w:rsid w:val="001B649D"/>
    <w:rsid w:val="001C2323"/>
    <w:rsid w:val="001D1BFE"/>
    <w:rsid w:val="001D6A4B"/>
    <w:rsid w:val="001D6C62"/>
    <w:rsid w:val="001E34DC"/>
    <w:rsid w:val="001E41F6"/>
    <w:rsid w:val="001F145D"/>
    <w:rsid w:val="001F6C47"/>
    <w:rsid w:val="00202C65"/>
    <w:rsid w:val="00203BA7"/>
    <w:rsid w:val="00214B6F"/>
    <w:rsid w:val="002203B7"/>
    <w:rsid w:val="00221B3C"/>
    <w:rsid w:val="00221D96"/>
    <w:rsid w:val="00225A45"/>
    <w:rsid w:val="00225B31"/>
    <w:rsid w:val="00232415"/>
    <w:rsid w:val="00234DE1"/>
    <w:rsid w:val="002351CE"/>
    <w:rsid w:val="00236108"/>
    <w:rsid w:val="00236948"/>
    <w:rsid w:val="002374B7"/>
    <w:rsid w:val="00237E82"/>
    <w:rsid w:val="002410AF"/>
    <w:rsid w:val="00242B9C"/>
    <w:rsid w:val="00246841"/>
    <w:rsid w:val="002470E7"/>
    <w:rsid w:val="00256399"/>
    <w:rsid w:val="00262523"/>
    <w:rsid w:val="002626FF"/>
    <w:rsid w:val="002717F9"/>
    <w:rsid w:val="00272B14"/>
    <w:rsid w:val="0028299F"/>
    <w:rsid w:val="002833AE"/>
    <w:rsid w:val="00284EB1"/>
    <w:rsid w:val="00287BB9"/>
    <w:rsid w:val="00291059"/>
    <w:rsid w:val="0029468F"/>
    <w:rsid w:val="002960F5"/>
    <w:rsid w:val="002A1070"/>
    <w:rsid w:val="002B322A"/>
    <w:rsid w:val="002B4739"/>
    <w:rsid w:val="002B5DD0"/>
    <w:rsid w:val="002B78BE"/>
    <w:rsid w:val="002C32C3"/>
    <w:rsid w:val="002C4540"/>
    <w:rsid w:val="002C630A"/>
    <w:rsid w:val="002D2E6F"/>
    <w:rsid w:val="002D5A75"/>
    <w:rsid w:val="002E6F20"/>
    <w:rsid w:val="002F4C7A"/>
    <w:rsid w:val="002F6C03"/>
    <w:rsid w:val="002F7FE7"/>
    <w:rsid w:val="00303EE7"/>
    <w:rsid w:val="00306D87"/>
    <w:rsid w:val="00312D1A"/>
    <w:rsid w:val="0032333D"/>
    <w:rsid w:val="003249EF"/>
    <w:rsid w:val="00334B15"/>
    <w:rsid w:val="003470CD"/>
    <w:rsid w:val="00350C35"/>
    <w:rsid w:val="00352BA3"/>
    <w:rsid w:val="00360F89"/>
    <w:rsid w:val="00361805"/>
    <w:rsid w:val="003624F3"/>
    <w:rsid w:val="00370634"/>
    <w:rsid w:val="00371158"/>
    <w:rsid w:val="003774F7"/>
    <w:rsid w:val="003850B4"/>
    <w:rsid w:val="00392DE2"/>
    <w:rsid w:val="00396F9A"/>
    <w:rsid w:val="003A0008"/>
    <w:rsid w:val="003A0010"/>
    <w:rsid w:val="003A04EA"/>
    <w:rsid w:val="003A327D"/>
    <w:rsid w:val="003A5536"/>
    <w:rsid w:val="003B648A"/>
    <w:rsid w:val="003C1809"/>
    <w:rsid w:val="003C1EA5"/>
    <w:rsid w:val="003C4A9F"/>
    <w:rsid w:val="003C4B33"/>
    <w:rsid w:val="003C5BF0"/>
    <w:rsid w:val="003C6FE2"/>
    <w:rsid w:val="003D2144"/>
    <w:rsid w:val="003D6608"/>
    <w:rsid w:val="003E5BE5"/>
    <w:rsid w:val="003F3509"/>
    <w:rsid w:val="003F4CC9"/>
    <w:rsid w:val="003F4E4D"/>
    <w:rsid w:val="004012DB"/>
    <w:rsid w:val="00401B37"/>
    <w:rsid w:val="004021D7"/>
    <w:rsid w:val="00403869"/>
    <w:rsid w:val="0041225B"/>
    <w:rsid w:val="004150B1"/>
    <w:rsid w:val="0041757E"/>
    <w:rsid w:val="00421951"/>
    <w:rsid w:val="00421FE9"/>
    <w:rsid w:val="00425B6B"/>
    <w:rsid w:val="00425BF1"/>
    <w:rsid w:val="00426C86"/>
    <w:rsid w:val="00427195"/>
    <w:rsid w:val="0043057A"/>
    <w:rsid w:val="00431183"/>
    <w:rsid w:val="004324B9"/>
    <w:rsid w:val="00432EB1"/>
    <w:rsid w:val="0043306A"/>
    <w:rsid w:val="00435903"/>
    <w:rsid w:val="00437336"/>
    <w:rsid w:val="00437F62"/>
    <w:rsid w:val="00437F6A"/>
    <w:rsid w:val="00440DDA"/>
    <w:rsid w:val="004411BC"/>
    <w:rsid w:val="00442262"/>
    <w:rsid w:val="00442E0C"/>
    <w:rsid w:val="0044394C"/>
    <w:rsid w:val="00447C04"/>
    <w:rsid w:val="004502BA"/>
    <w:rsid w:val="00450FE2"/>
    <w:rsid w:val="004526EF"/>
    <w:rsid w:val="00457137"/>
    <w:rsid w:val="00462820"/>
    <w:rsid w:val="004643EB"/>
    <w:rsid w:val="00466705"/>
    <w:rsid w:val="004736A3"/>
    <w:rsid w:val="004841D1"/>
    <w:rsid w:val="00491078"/>
    <w:rsid w:val="00492649"/>
    <w:rsid w:val="004A06DC"/>
    <w:rsid w:val="004A0D9C"/>
    <w:rsid w:val="004A7582"/>
    <w:rsid w:val="004B02A7"/>
    <w:rsid w:val="004B1272"/>
    <w:rsid w:val="004B5016"/>
    <w:rsid w:val="004B6160"/>
    <w:rsid w:val="004B6A54"/>
    <w:rsid w:val="004C6EAE"/>
    <w:rsid w:val="004D4402"/>
    <w:rsid w:val="004D54E3"/>
    <w:rsid w:val="004E6498"/>
    <w:rsid w:val="004E7FA1"/>
    <w:rsid w:val="004F0784"/>
    <w:rsid w:val="0050018F"/>
    <w:rsid w:val="00501207"/>
    <w:rsid w:val="005017AB"/>
    <w:rsid w:val="005058C0"/>
    <w:rsid w:val="005107B4"/>
    <w:rsid w:val="00510ED6"/>
    <w:rsid w:val="005138EE"/>
    <w:rsid w:val="0051631D"/>
    <w:rsid w:val="00517E6C"/>
    <w:rsid w:val="00521AA8"/>
    <w:rsid w:val="00522B5F"/>
    <w:rsid w:val="00522FF9"/>
    <w:rsid w:val="0052332C"/>
    <w:rsid w:val="00525EBB"/>
    <w:rsid w:val="005448DC"/>
    <w:rsid w:val="005501F4"/>
    <w:rsid w:val="0056073C"/>
    <w:rsid w:val="005675D6"/>
    <w:rsid w:val="00570E0B"/>
    <w:rsid w:val="0057135A"/>
    <w:rsid w:val="005719E6"/>
    <w:rsid w:val="00574ABA"/>
    <w:rsid w:val="00576F80"/>
    <w:rsid w:val="00580239"/>
    <w:rsid w:val="005866F8"/>
    <w:rsid w:val="00592CC8"/>
    <w:rsid w:val="0059437A"/>
    <w:rsid w:val="005A25D5"/>
    <w:rsid w:val="005A297F"/>
    <w:rsid w:val="005A59C3"/>
    <w:rsid w:val="005C0BB7"/>
    <w:rsid w:val="005C1082"/>
    <w:rsid w:val="005C2147"/>
    <w:rsid w:val="005C2EB5"/>
    <w:rsid w:val="005C4827"/>
    <w:rsid w:val="005D0AF1"/>
    <w:rsid w:val="005D2691"/>
    <w:rsid w:val="005D5F23"/>
    <w:rsid w:val="005E0CA8"/>
    <w:rsid w:val="005E4077"/>
    <w:rsid w:val="005E412B"/>
    <w:rsid w:val="005E5732"/>
    <w:rsid w:val="005E65EB"/>
    <w:rsid w:val="005F7C6B"/>
    <w:rsid w:val="00605218"/>
    <w:rsid w:val="00611C38"/>
    <w:rsid w:val="00616B52"/>
    <w:rsid w:val="006300F9"/>
    <w:rsid w:val="006302E9"/>
    <w:rsid w:val="00636001"/>
    <w:rsid w:val="006619D9"/>
    <w:rsid w:val="00663F9F"/>
    <w:rsid w:val="00664B83"/>
    <w:rsid w:val="00665BE9"/>
    <w:rsid w:val="00667D6F"/>
    <w:rsid w:val="00672B2D"/>
    <w:rsid w:val="0068006C"/>
    <w:rsid w:val="006860E1"/>
    <w:rsid w:val="00686CED"/>
    <w:rsid w:val="00696F83"/>
    <w:rsid w:val="006A4636"/>
    <w:rsid w:val="006B2D57"/>
    <w:rsid w:val="006B390F"/>
    <w:rsid w:val="006C0426"/>
    <w:rsid w:val="006C1623"/>
    <w:rsid w:val="006C2112"/>
    <w:rsid w:val="006C3CCE"/>
    <w:rsid w:val="006D3B08"/>
    <w:rsid w:val="006E346D"/>
    <w:rsid w:val="006E4A7F"/>
    <w:rsid w:val="006F0A51"/>
    <w:rsid w:val="007030C8"/>
    <w:rsid w:val="00703A11"/>
    <w:rsid w:val="0070437D"/>
    <w:rsid w:val="007074BD"/>
    <w:rsid w:val="0071233B"/>
    <w:rsid w:val="00715C0C"/>
    <w:rsid w:val="00716455"/>
    <w:rsid w:val="00727745"/>
    <w:rsid w:val="007358B5"/>
    <w:rsid w:val="00736FB4"/>
    <w:rsid w:val="007375B7"/>
    <w:rsid w:val="007416D9"/>
    <w:rsid w:val="00752FDD"/>
    <w:rsid w:val="00753CE1"/>
    <w:rsid w:val="00756B87"/>
    <w:rsid w:val="007639A3"/>
    <w:rsid w:val="00766057"/>
    <w:rsid w:val="007757B9"/>
    <w:rsid w:val="007824CA"/>
    <w:rsid w:val="00785A14"/>
    <w:rsid w:val="00786745"/>
    <w:rsid w:val="007902AC"/>
    <w:rsid w:val="007916AE"/>
    <w:rsid w:val="00793181"/>
    <w:rsid w:val="007951F4"/>
    <w:rsid w:val="00795FD6"/>
    <w:rsid w:val="007A1AD5"/>
    <w:rsid w:val="007A32DE"/>
    <w:rsid w:val="007A58E5"/>
    <w:rsid w:val="007B2961"/>
    <w:rsid w:val="007B5171"/>
    <w:rsid w:val="007B6175"/>
    <w:rsid w:val="007B6CEC"/>
    <w:rsid w:val="007C3FB6"/>
    <w:rsid w:val="007D043A"/>
    <w:rsid w:val="007D68CB"/>
    <w:rsid w:val="007D7D72"/>
    <w:rsid w:val="007E1A70"/>
    <w:rsid w:val="007E2983"/>
    <w:rsid w:val="007E2AF5"/>
    <w:rsid w:val="007E777D"/>
    <w:rsid w:val="007F3909"/>
    <w:rsid w:val="007F70F9"/>
    <w:rsid w:val="008001C7"/>
    <w:rsid w:val="00802E1E"/>
    <w:rsid w:val="00803E41"/>
    <w:rsid w:val="00814732"/>
    <w:rsid w:val="00817CA3"/>
    <w:rsid w:val="008221CB"/>
    <w:rsid w:val="00822A75"/>
    <w:rsid w:val="00826287"/>
    <w:rsid w:val="0082665B"/>
    <w:rsid w:val="00827B00"/>
    <w:rsid w:val="00830808"/>
    <w:rsid w:val="00834A31"/>
    <w:rsid w:val="00840E11"/>
    <w:rsid w:val="00840FCA"/>
    <w:rsid w:val="00844CB1"/>
    <w:rsid w:val="00850DF8"/>
    <w:rsid w:val="00854DC0"/>
    <w:rsid w:val="00857251"/>
    <w:rsid w:val="00871395"/>
    <w:rsid w:val="0087396E"/>
    <w:rsid w:val="00876778"/>
    <w:rsid w:val="00877E7B"/>
    <w:rsid w:val="00886859"/>
    <w:rsid w:val="008A3B48"/>
    <w:rsid w:val="008A4DC4"/>
    <w:rsid w:val="008B452C"/>
    <w:rsid w:val="008C19DE"/>
    <w:rsid w:val="008C40F4"/>
    <w:rsid w:val="008E67B1"/>
    <w:rsid w:val="008F755F"/>
    <w:rsid w:val="00900F6A"/>
    <w:rsid w:val="00904CA1"/>
    <w:rsid w:val="009063C9"/>
    <w:rsid w:val="00913B9E"/>
    <w:rsid w:val="009154B4"/>
    <w:rsid w:val="00921E2B"/>
    <w:rsid w:val="00922254"/>
    <w:rsid w:val="00925671"/>
    <w:rsid w:val="0092621D"/>
    <w:rsid w:val="0093393B"/>
    <w:rsid w:val="00933F5A"/>
    <w:rsid w:val="00943243"/>
    <w:rsid w:val="00945C4A"/>
    <w:rsid w:val="009525FA"/>
    <w:rsid w:val="00952EE0"/>
    <w:rsid w:val="0095402B"/>
    <w:rsid w:val="00955004"/>
    <w:rsid w:val="00955C7C"/>
    <w:rsid w:val="009612E9"/>
    <w:rsid w:val="00962C51"/>
    <w:rsid w:val="0096548C"/>
    <w:rsid w:val="00967AE7"/>
    <w:rsid w:val="0097566B"/>
    <w:rsid w:val="009777CE"/>
    <w:rsid w:val="00977CEC"/>
    <w:rsid w:val="00986BF3"/>
    <w:rsid w:val="009904E7"/>
    <w:rsid w:val="00992ABD"/>
    <w:rsid w:val="00994F5D"/>
    <w:rsid w:val="00996CAB"/>
    <w:rsid w:val="009A7685"/>
    <w:rsid w:val="009B15D9"/>
    <w:rsid w:val="009B46B5"/>
    <w:rsid w:val="009C19D1"/>
    <w:rsid w:val="009C2980"/>
    <w:rsid w:val="009C469A"/>
    <w:rsid w:val="009C6DB1"/>
    <w:rsid w:val="009D005D"/>
    <w:rsid w:val="009D4096"/>
    <w:rsid w:val="009D4505"/>
    <w:rsid w:val="009D6B8D"/>
    <w:rsid w:val="009E01F8"/>
    <w:rsid w:val="009E0B62"/>
    <w:rsid w:val="009E6D73"/>
    <w:rsid w:val="009E7154"/>
    <w:rsid w:val="009F0F63"/>
    <w:rsid w:val="009F2A76"/>
    <w:rsid w:val="009F37BB"/>
    <w:rsid w:val="00A0524C"/>
    <w:rsid w:val="00A07C93"/>
    <w:rsid w:val="00A146FB"/>
    <w:rsid w:val="00A15DC1"/>
    <w:rsid w:val="00A22879"/>
    <w:rsid w:val="00A3462D"/>
    <w:rsid w:val="00A40B3A"/>
    <w:rsid w:val="00A45889"/>
    <w:rsid w:val="00A519BC"/>
    <w:rsid w:val="00A5515F"/>
    <w:rsid w:val="00A5538F"/>
    <w:rsid w:val="00A57CE5"/>
    <w:rsid w:val="00A72EC4"/>
    <w:rsid w:val="00A734AA"/>
    <w:rsid w:val="00A75E50"/>
    <w:rsid w:val="00A770AF"/>
    <w:rsid w:val="00A856C5"/>
    <w:rsid w:val="00A97721"/>
    <w:rsid w:val="00AA3DCB"/>
    <w:rsid w:val="00AB02A2"/>
    <w:rsid w:val="00AB18DF"/>
    <w:rsid w:val="00AB362F"/>
    <w:rsid w:val="00AB4980"/>
    <w:rsid w:val="00AB6211"/>
    <w:rsid w:val="00AB71AA"/>
    <w:rsid w:val="00AC6A40"/>
    <w:rsid w:val="00AD5973"/>
    <w:rsid w:val="00AD6AC2"/>
    <w:rsid w:val="00AE4DA1"/>
    <w:rsid w:val="00AE5682"/>
    <w:rsid w:val="00B027A1"/>
    <w:rsid w:val="00B0666C"/>
    <w:rsid w:val="00B10AA3"/>
    <w:rsid w:val="00B14F9B"/>
    <w:rsid w:val="00B1530F"/>
    <w:rsid w:val="00B16DDD"/>
    <w:rsid w:val="00B17820"/>
    <w:rsid w:val="00B22036"/>
    <w:rsid w:val="00B302E5"/>
    <w:rsid w:val="00B30ED0"/>
    <w:rsid w:val="00B31942"/>
    <w:rsid w:val="00B347A1"/>
    <w:rsid w:val="00B3702D"/>
    <w:rsid w:val="00B40C86"/>
    <w:rsid w:val="00B54F41"/>
    <w:rsid w:val="00B57F02"/>
    <w:rsid w:val="00B60F18"/>
    <w:rsid w:val="00B614D7"/>
    <w:rsid w:val="00B6313E"/>
    <w:rsid w:val="00B70CFD"/>
    <w:rsid w:val="00B71291"/>
    <w:rsid w:val="00B71CEB"/>
    <w:rsid w:val="00B72B35"/>
    <w:rsid w:val="00B741D3"/>
    <w:rsid w:val="00B82B7B"/>
    <w:rsid w:val="00B93921"/>
    <w:rsid w:val="00B95FED"/>
    <w:rsid w:val="00BA3693"/>
    <w:rsid w:val="00BA7822"/>
    <w:rsid w:val="00BA7CCD"/>
    <w:rsid w:val="00BB01F4"/>
    <w:rsid w:val="00BB279F"/>
    <w:rsid w:val="00BC39EE"/>
    <w:rsid w:val="00BD105B"/>
    <w:rsid w:val="00BD6604"/>
    <w:rsid w:val="00BE0E0C"/>
    <w:rsid w:val="00BE4169"/>
    <w:rsid w:val="00BE54DD"/>
    <w:rsid w:val="00BE5C7E"/>
    <w:rsid w:val="00BF333B"/>
    <w:rsid w:val="00BF7C54"/>
    <w:rsid w:val="00C02D2C"/>
    <w:rsid w:val="00C06D1D"/>
    <w:rsid w:val="00C14F3D"/>
    <w:rsid w:val="00C258D7"/>
    <w:rsid w:val="00C323DD"/>
    <w:rsid w:val="00C34DEE"/>
    <w:rsid w:val="00C401E4"/>
    <w:rsid w:val="00C44F7B"/>
    <w:rsid w:val="00C5320A"/>
    <w:rsid w:val="00C561C2"/>
    <w:rsid w:val="00C562B4"/>
    <w:rsid w:val="00C56BCB"/>
    <w:rsid w:val="00C62650"/>
    <w:rsid w:val="00C63103"/>
    <w:rsid w:val="00C64F2D"/>
    <w:rsid w:val="00C67391"/>
    <w:rsid w:val="00C674C7"/>
    <w:rsid w:val="00C7149E"/>
    <w:rsid w:val="00C71CBB"/>
    <w:rsid w:val="00C7407E"/>
    <w:rsid w:val="00C740F0"/>
    <w:rsid w:val="00C74237"/>
    <w:rsid w:val="00C7558B"/>
    <w:rsid w:val="00C80BF8"/>
    <w:rsid w:val="00C80F09"/>
    <w:rsid w:val="00C84DB8"/>
    <w:rsid w:val="00C86FF8"/>
    <w:rsid w:val="00C907B4"/>
    <w:rsid w:val="00C9326F"/>
    <w:rsid w:val="00C9647B"/>
    <w:rsid w:val="00C96C58"/>
    <w:rsid w:val="00CA0CE2"/>
    <w:rsid w:val="00CA3934"/>
    <w:rsid w:val="00CA69B5"/>
    <w:rsid w:val="00CB104E"/>
    <w:rsid w:val="00CB17B7"/>
    <w:rsid w:val="00CC051A"/>
    <w:rsid w:val="00CC5F3B"/>
    <w:rsid w:val="00CD393A"/>
    <w:rsid w:val="00CD3DB3"/>
    <w:rsid w:val="00CE076F"/>
    <w:rsid w:val="00CF1698"/>
    <w:rsid w:val="00CF3D2C"/>
    <w:rsid w:val="00CF415D"/>
    <w:rsid w:val="00CF7899"/>
    <w:rsid w:val="00D02AF2"/>
    <w:rsid w:val="00D0300A"/>
    <w:rsid w:val="00D03DF2"/>
    <w:rsid w:val="00D054F4"/>
    <w:rsid w:val="00D1047C"/>
    <w:rsid w:val="00D1204B"/>
    <w:rsid w:val="00D179B4"/>
    <w:rsid w:val="00D20215"/>
    <w:rsid w:val="00D209F7"/>
    <w:rsid w:val="00D26C0C"/>
    <w:rsid w:val="00D45BEC"/>
    <w:rsid w:val="00D4668A"/>
    <w:rsid w:val="00D46C3B"/>
    <w:rsid w:val="00D47F44"/>
    <w:rsid w:val="00D51552"/>
    <w:rsid w:val="00D63B7F"/>
    <w:rsid w:val="00D76C99"/>
    <w:rsid w:val="00D76F1C"/>
    <w:rsid w:val="00D80600"/>
    <w:rsid w:val="00D86318"/>
    <w:rsid w:val="00D938B9"/>
    <w:rsid w:val="00D95B01"/>
    <w:rsid w:val="00D96420"/>
    <w:rsid w:val="00DA06A4"/>
    <w:rsid w:val="00DA0C3D"/>
    <w:rsid w:val="00DA2812"/>
    <w:rsid w:val="00DA4B74"/>
    <w:rsid w:val="00DB3841"/>
    <w:rsid w:val="00DC09C9"/>
    <w:rsid w:val="00DC6CFE"/>
    <w:rsid w:val="00DD008C"/>
    <w:rsid w:val="00DD339F"/>
    <w:rsid w:val="00DD525D"/>
    <w:rsid w:val="00DD7681"/>
    <w:rsid w:val="00DE6626"/>
    <w:rsid w:val="00DE6A23"/>
    <w:rsid w:val="00DF1DBF"/>
    <w:rsid w:val="00DF56DF"/>
    <w:rsid w:val="00DF5A03"/>
    <w:rsid w:val="00DF7CEC"/>
    <w:rsid w:val="00E0578B"/>
    <w:rsid w:val="00E1145F"/>
    <w:rsid w:val="00E12BC5"/>
    <w:rsid w:val="00E30FA1"/>
    <w:rsid w:val="00E331E6"/>
    <w:rsid w:val="00E33225"/>
    <w:rsid w:val="00E334D7"/>
    <w:rsid w:val="00E338CB"/>
    <w:rsid w:val="00E3460C"/>
    <w:rsid w:val="00E37B89"/>
    <w:rsid w:val="00E42D6F"/>
    <w:rsid w:val="00E46C6C"/>
    <w:rsid w:val="00E50BC9"/>
    <w:rsid w:val="00E6696F"/>
    <w:rsid w:val="00E72ADE"/>
    <w:rsid w:val="00E809BC"/>
    <w:rsid w:val="00EA1BA5"/>
    <w:rsid w:val="00EA5339"/>
    <w:rsid w:val="00EB20A2"/>
    <w:rsid w:val="00EB47E3"/>
    <w:rsid w:val="00EC173F"/>
    <w:rsid w:val="00EC23CC"/>
    <w:rsid w:val="00EC488D"/>
    <w:rsid w:val="00EC558D"/>
    <w:rsid w:val="00ED1610"/>
    <w:rsid w:val="00ED1A7E"/>
    <w:rsid w:val="00ED5D5C"/>
    <w:rsid w:val="00ED711B"/>
    <w:rsid w:val="00EE3501"/>
    <w:rsid w:val="00EE4378"/>
    <w:rsid w:val="00EE702D"/>
    <w:rsid w:val="00EF075F"/>
    <w:rsid w:val="00EF20C3"/>
    <w:rsid w:val="00EF4736"/>
    <w:rsid w:val="00EF5286"/>
    <w:rsid w:val="00EF5512"/>
    <w:rsid w:val="00F0143A"/>
    <w:rsid w:val="00F03BB3"/>
    <w:rsid w:val="00F04E84"/>
    <w:rsid w:val="00F133C4"/>
    <w:rsid w:val="00F17765"/>
    <w:rsid w:val="00F2072D"/>
    <w:rsid w:val="00F209E3"/>
    <w:rsid w:val="00F229AA"/>
    <w:rsid w:val="00F23A92"/>
    <w:rsid w:val="00F31592"/>
    <w:rsid w:val="00F34A5D"/>
    <w:rsid w:val="00F56B6F"/>
    <w:rsid w:val="00F602D2"/>
    <w:rsid w:val="00F607AC"/>
    <w:rsid w:val="00F6537D"/>
    <w:rsid w:val="00F66114"/>
    <w:rsid w:val="00F66428"/>
    <w:rsid w:val="00F77E74"/>
    <w:rsid w:val="00F82011"/>
    <w:rsid w:val="00F82694"/>
    <w:rsid w:val="00F8459D"/>
    <w:rsid w:val="00F91AF3"/>
    <w:rsid w:val="00F9298D"/>
    <w:rsid w:val="00F96B9F"/>
    <w:rsid w:val="00F9763E"/>
    <w:rsid w:val="00FA1959"/>
    <w:rsid w:val="00FA1CFC"/>
    <w:rsid w:val="00FA74EF"/>
    <w:rsid w:val="00FB084A"/>
    <w:rsid w:val="00FB256D"/>
    <w:rsid w:val="00FB3356"/>
    <w:rsid w:val="00FB6BB0"/>
    <w:rsid w:val="00FC069C"/>
    <w:rsid w:val="00FC30F3"/>
    <w:rsid w:val="00FC31F7"/>
    <w:rsid w:val="00FD0445"/>
    <w:rsid w:val="00FD22EF"/>
    <w:rsid w:val="00FD4E92"/>
    <w:rsid w:val="00FE01B1"/>
    <w:rsid w:val="00FE0C3F"/>
    <w:rsid w:val="00FE5AE4"/>
    <w:rsid w:val="00FF4DAE"/>
    <w:rsid w:val="00FF749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5732"/>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5E5732"/>
    <w:rPr>
      <w:sz w:val="22"/>
      <w:szCs w:val="22"/>
      <w:lang w:val="ro-RO"/>
    </w:rPr>
  </w:style>
  <w:style w:type="paragraph" w:styleId="Header">
    <w:name w:val="header"/>
    <w:basedOn w:val="Normal"/>
    <w:link w:val="HeaderChar"/>
    <w:uiPriority w:val="99"/>
    <w:semiHidden/>
    <w:rsid w:val="004526EF"/>
    <w:pPr>
      <w:tabs>
        <w:tab w:val="center" w:pos="4680"/>
        <w:tab w:val="right" w:pos="9360"/>
      </w:tabs>
    </w:pPr>
  </w:style>
  <w:style w:type="character" w:customStyle="1" w:styleId="HeaderChar">
    <w:name w:val="Header Char"/>
    <w:basedOn w:val="DefaultParagraphFont"/>
    <w:link w:val="Header"/>
    <w:uiPriority w:val="99"/>
    <w:semiHidden/>
    <w:locked/>
    <w:rsid w:val="004526EF"/>
    <w:rPr>
      <w:rFonts w:ascii="Times New Roman" w:hAnsi="Times New Roman" w:cs="Times New Roman"/>
      <w:sz w:val="24"/>
      <w:szCs w:val="24"/>
      <w:lang w:val="en-US"/>
    </w:rPr>
  </w:style>
  <w:style w:type="paragraph" w:styleId="Footer">
    <w:name w:val="footer"/>
    <w:basedOn w:val="Normal"/>
    <w:link w:val="FooterChar"/>
    <w:uiPriority w:val="99"/>
    <w:rsid w:val="004526EF"/>
    <w:pPr>
      <w:tabs>
        <w:tab w:val="center" w:pos="4680"/>
        <w:tab w:val="right" w:pos="9360"/>
      </w:tabs>
    </w:pPr>
  </w:style>
  <w:style w:type="character" w:customStyle="1" w:styleId="FooterChar">
    <w:name w:val="Footer Char"/>
    <w:basedOn w:val="DefaultParagraphFont"/>
    <w:link w:val="Footer"/>
    <w:uiPriority w:val="99"/>
    <w:locked/>
    <w:rsid w:val="004526EF"/>
    <w:rPr>
      <w:rFonts w:ascii="Times New Roman" w:hAnsi="Times New Roman" w:cs="Times New Roman"/>
      <w:sz w:val="24"/>
      <w:szCs w:val="24"/>
      <w:lang w:val="en-US"/>
    </w:rPr>
  </w:style>
  <w:style w:type="paragraph" w:customStyle="1" w:styleId="spar">
    <w:name w:val="s_par"/>
    <w:basedOn w:val="Normal"/>
    <w:uiPriority w:val="99"/>
    <w:rsid w:val="001D6A4B"/>
    <w:pPr>
      <w:spacing w:before="100" w:beforeAutospacing="1" w:after="100" w:afterAutospacing="1"/>
    </w:pPr>
    <w:rPr>
      <w:rFonts w:eastAsia="Calibri"/>
      <w:lang w:val="ro-RO" w:eastAsia="ro-RO"/>
    </w:rPr>
  </w:style>
  <w:style w:type="character" w:customStyle="1" w:styleId="apple-converted-space">
    <w:name w:val="apple-converted-space"/>
    <w:basedOn w:val="DefaultParagraphFont"/>
    <w:uiPriority w:val="99"/>
    <w:rsid w:val="001D6A4B"/>
    <w:rPr>
      <w:rFonts w:cs="Times New Roman"/>
    </w:rPr>
  </w:style>
  <w:style w:type="character" w:styleId="Hyperlink">
    <w:name w:val="Hyperlink"/>
    <w:basedOn w:val="DefaultParagraphFont"/>
    <w:uiPriority w:val="99"/>
    <w:rsid w:val="001D6A4B"/>
    <w:rPr>
      <w:rFonts w:cs="Times New Roman"/>
      <w:color w:val="0000FF"/>
      <w:u w:val="single"/>
    </w:rPr>
  </w:style>
  <w:style w:type="paragraph" w:customStyle="1" w:styleId="sden">
    <w:name w:val="s_den"/>
    <w:basedOn w:val="Normal"/>
    <w:uiPriority w:val="99"/>
    <w:rsid w:val="00A07C93"/>
    <w:pPr>
      <w:spacing w:before="100" w:beforeAutospacing="1" w:after="100" w:afterAutospacing="1"/>
    </w:pPr>
    <w:rPr>
      <w:rFonts w:eastAsia="Calibri"/>
      <w:lang w:val="ro-RO" w:eastAsia="ro-RO"/>
    </w:rPr>
  </w:style>
  <w:style w:type="paragraph" w:customStyle="1" w:styleId="semtttl">
    <w:name w:val="s_emt_ttl"/>
    <w:basedOn w:val="Normal"/>
    <w:uiPriority w:val="99"/>
    <w:rsid w:val="00A07C93"/>
    <w:pPr>
      <w:spacing w:before="100" w:beforeAutospacing="1" w:after="100" w:afterAutospacing="1"/>
    </w:pPr>
    <w:rPr>
      <w:rFonts w:eastAsia="Calibri"/>
      <w:lang w:val="ro-RO" w:eastAsia="ro-RO"/>
    </w:rPr>
  </w:style>
  <w:style w:type="character" w:customStyle="1" w:styleId="semtbdy">
    <w:name w:val="s_emt_bdy"/>
    <w:basedOn w:val="DefaultParagraphFont"/>
    <w:uiPriority w:val="99"/>
    <w:rsid w:val="00A07C93"/>
    <w:rPr>
      <w:rFonts w:cs="Times New Roman"/>
    </w:rPr>
  </w:style>
  <w:style w:type="paragraph" w:customStyle="1" w:styleId="spub">
    <w:name w:val="s_pub"/>
    <w:basedOn w:val="Normal"/>
    <w:uiPriority w:val="99"/>
    <w:rsid w:val="00A07C93"/>
    <w:pPr>
      <w:spacing w:before="100" w:beforeAutospacing="1" w:after="100" w:afterAutospacing="1"/>
    </w:pPr>
    <w:rPr>
      <w:rFonts w:eastAsia="Calibri"/>
      <w:lang w:val="ro-RO" w:eastAsia="ro-RO"/>
    </w:rPr>
  </w:style>
  <w:style w:type="character" w:customStyle="1" w:styleId="spubttl">
    <w:name w:val="s_pub_ttl"/>
    <w:basedOn w:val="DefaultParagraphFont"/>
    <w:uiPriority w:val="99"/>
    <w:rsid w:val="00A07C93"/>
    <w:rPr>
      <w:rFonts w:cs="Times New Roman"/>
    </w:rPr>
  </w:style>
  <w:style w:type="character" w:customStyle="1" w:styleId="spubbdy">
    <w:name w:val="s_pub_bdy"/>
    <w:basedOn w:val="DefaultParagraphFont"/>
    <w:uiPriority w:val="99"/>
    <w:rsid w:val="00A07C93"/>
    <w:rPr>
      <w:rFonts w:cs="Times New Roman"/>
    </w:rPr>
  </w:style>
  <w:style w:type="paragraph" w:customStyle="1" w:styleId="scapttl">
    <w:name w:val="s_cap_ttl"/>
    <w:basedOn w:val="Normal"/>
    <w:uiPriority w:val="99"/>
    <w:rsid w:val="00A734AA"/>
    <w:pPr>
      <w:spacing w:before="100" w:beforeAutospacing="1" w:after="100" w:afterAutospacing="1"/>
    </w:pPr>
    <w:rPr>
      <w:rFonts w:eastAsia="Calibri"/>
      <w:lang w:val="ro-RO" w:eastAsia="ro-RO"/>
    </w:rPr>
  </w:style>
  <w:style w:type="paragraph" w:customStyle="1" w:styleId="scapden">
    <w:name w:val="s_cap_den"/>
    <w:basedOn w:val="Normal"/>
    <w:uiPriority w:val="99"/>
    <w:rsid w:val="00A734AA"/>
    <w:pPr>
      <w:spacing w:before="100" w:beforeAutospacing="1" w:after="100" w:afterAutospacing="1"/>
    </w:pPr>
    <w:rPr>
      <w:rFonts w:eastAsia="Calibri"/>
      <w:lang w:val="ro-RO" w:eastAsia="ro-RO"/>
    </w:rPr>
  </w:style>
  <w:style w:type="paragraph" w:customStyle="1" w:styleId="sartttl">
    <w:name w:val="s_art_ttl"/>
    <w:basedOn w:val="Normal"/>
    <w:uiPriority w:val="99"/>
    <w:rsid w:val="00A734AA"/>
    <w:pPr>
      <w:spacing w:before="100" w:beforeAutospacing="1" w:after="100" w:afterAutospacing="1"/>
    </w:pPr>
    <w:rPr>
      <w:rFonts w:eastAsia="Calibri"/>
      <w:lang w:val="ro-RO" w:eastAsia="ro-RO"/>
    </w:rPr>
  </w:style>
  <w:style w:type="character" w:customStyle="1" w:styleId="slitttl">
    <w:name w:val="s_lit_ttl"/>
    <w:basedOn w:val="DefaultParagraphFont"/>
    <w:uiPriority w:val="99"/>
    <w:rsid w:val="00A734AA"/>
    <w:rPr>
      <w:rFonts w:cs="Times New Roman"/>
    </w:rPr>
  </w:style>
  <w:style w:type="character" w:customStyle="1" w:styleId="slitbdy">
    <w:name w:val="s_lit_bdy"/>
    <w:basedOn w:val="DefaultParagraphFont"/>
    <w:uiPriority w:val="99"/>
    <w:rsid w:val="00A734AA"/>
    <w:rPr>
      <w:rFonts w:cs="Times New Roman"/>
    </w:rPr>
  </w:style>
  <w:style w:type="character" w:customStyle="1" w:styleId="salnttl">
    <w:name w:val="s_aln_ttl"/>
    <w:basedOn w:val="DefaultParagraphFont"/>
    <w:uiPriority w:val="99"/>
    <w:rsid w:val="00A734AA"/>
    <w:rPr>
      <w:rFonts w:cs="Times New Roman"/>
    </w:rPr>
  </w:style>
  <w:style w:type="character" w:customStyle="1" w:styleId="salnbdy">
    <w:name w:val="s_aln_bdy"/>
    <w:basedOn w:val="DefaultParagraphFont"/>
    <w:uiPriority w:val="99"/>
    <w:rsid w:val="00A734AA"/>
    <w:rPr>
      <w:rFonts w:cs="Times New Roman"/>
    </w:rPr>
  </w:style>
</w:styles>
</file>

<file path=word/webSettings.xml><?xml version="1.0" encoding="utf-8"?>
<w:webSettings xmlns:r="http://schemas.openxmlformats.org/officeDocument/2006/relationships" xmlns:w="http://schemas.openxmlformats.org/wordprocessingml/2006/main">
  <w:divs>
    <w:div w:id="1382553452">
      <w:marLeft w:val="0"/>
      <w:marRight w:val="0"/>
      <w:marTop w:val="0"/>
      <w:marBottom w:val="0"/>
      <w:divBdr>
        <w:top w:val="none" w:sz="0" w:space="0" w:color="auto"/>
        <w:left w:val="none" w:sz="0" w:space="0" w:color="auto"/>
        <w:bottom w:val="none" w:sz="0" w:space="0" w:color="auto"/>
        <w:right w:val="none" w:sz="0" w:space="0" w:color="auto"/>
      </w:divBdr>
    </w:div>
    <w:div w:id="1382553454">
      <w:marLeft w:val="0"/>
      <w:marRight w:val="0"/>
      <w:marTop w:val="0"/>
      <w:marBottom w:val="0"/>
      <w:divBdr>
        <w:top w:val="none" w:sz="0" w:space="0" w:color="auto"/>
        <w:left w:val="none" w:sz="0" w:space="0" w:color="auto"/>
        <w:bottom w:val="none" w:sz="0" w:space="0" w:color="auto"/>
        <w:right w:val="none" w:sz="0" w:space="0" w:color="auto"/>
      </w:divBdr>
      <w:divsChild>
        <w:div w:id="1382553447">
          <w:marLeft w:val="72"/>
          <w:marRight w:val="72"/>
          <w:marTop w:val="72"/>
          <w:marBottom w:val="72"/>
          <w:divBdr>
            <w:top w:val="none" w:sz="0" w:space="0" w:color="auto"/>
            <w:left w:val="none" w:sz="0" w:space="0" w:color="auto"/>
            <w:bottom w:val="none" w:sz="0" w:space="0" w:color="auto"/>
            <w:right w:val="none" w:sz="0" w:space="0" w:color="auto"/>
          </w:divBdr>
          <w:divsChild>
            <w:div w:id="1382553455">
              <w:marLeft w:val="0"/>
              <w:marRight w:val="0"/>
              <w:marTop w:val="0"/>
              <w:marBottom w:val="0"/>
              <w:divBdr>
                <w:top w:val="none" w:sz="0" w:space="0" w:color="auto"/>
                <w:left w:val="none" w:sz="0" w:space="0" w:color="auto"/>
                <w:bottom w:val="none" w:sz="0" w:space="0" w:color="auto"/>
                <w:right w:val="none" w:sz="0" w:space="0" w:color="auto"/>
              </w:divBdr>
            </w:div>
            <w:div w:id="1382553490">
              <w:marLeft w:val="0"/>
              <w:marRight w:val="0"/>
              <w:marTop w:val="0"/>
              <w:marBottom w:val="0"/>
              <w:divBdr>
                <w:top w:val="none" w:sz="0" w:space="0" w:color="auto"/>
                <w:left w:val="none" w:sz="0" w:space="0" w:color="auto"/>
                <w:bottom w:val="none" w:sz="0" w:space="0" w:color="auto"/>
                <w:right w:val="none" w:sz="0" w:space="0" w:color="auto"/>
              </w:divBdr>
            </w:div>
          </w:divsChild>
        </w:div>
        <w:div w:id="1382553448">
          <w:marLeft w:val="72"/>
          <w:marRight w:val="72"/>
          <w:marTop w:val="72"/>
          <w:marBottom w:val="72"/>
          <w:divBdr>
            <w:top w:val="none" w:sz="0" w:space="0" w:color="auto"/>
            <w:left w:val="none" w:sz="0" w:space="0" w:color="auto"/>
            <w:bottom w:val="none" w:sz="0" w:space="0" w:color="auto"/>
            <w:right w:val="none" w:sz="0" w:space="0" w:color="auto"/>
          </w:divBdr>
        </w:div>
        <w:div w:id="1382553471">
          <w:marLeft w:val="72"/>
          <w:marRight w:val="72"/>
          <w:marTop w:val="72"/>
          <w:marBottom w:val="72"/>
          <w:divBdr>
            <w:top w:val="none" w:sz="0" w:space="0" w:color="auto"/>
            <w:left w:val="none" w:sz="0" w:space="0" w:color="auto"/>
            <w:bottom w:val="none" w:sz="0" w:space="0" w:color="auto"/>
            <w:right w:val="none" w:sz="0" w:space="0" w:color="auto"/>
          </w:divBdr>
        </w:div>
        <w:div w:id="1382553473">
          <w:marLeft w:val="72"/>
          <w:marRight w:val="72"/>
          <w:marTop w:val="72"/>
          <w:marBottom w:val="72"/>
          <w:divBdr>
            <w:top w:val="none" w:sz="0" w:space="0" w:color="auto"/>
            <w:left w:val="none" w:sz="0" w:space="0" w:color="auto"/>
            <w:bottom w:val="none" w:sz="0" w:space="0" w:color="auto"/>
            <w:right w:val="none" w:sz="0" w:space="0" w:color="auto"/>
          </w:divBdr>
        </w:div>
        <w:div w:id="1382553492">
          <w:marLeft w:val="72"/>
          <w:marRight w:val="72"/>
          <w:marTop w:val="72"/>
          <w:marBottom w:val="72"/>
          <w:divBdr>
            <w:top w:val="none" w:sz="0" w:space="0" w:color="auto"/>
            <w:left w:val="none" w:sz="0" w:space="0" w:color="auto"/>
            <w:bottom w:val="none" w:sz="0" w:space="0" w:color="auto"/>
            <w:right w:val="none" w:sz="0" w:space="0" w:color="auto"/>
          </w:divBdr>
          <w:divsChild>
            <w:div w:id="1382553458">
              <w:marLeft w:val="0"/>
              <w:marRight w:val="0"/>
              <w:marTop w:val="0"/>
              <w:marBottom w:val="0"/>
              <w:divBdr>
                <w:top w:val="none" w:sz="0" w:space="0" w:color="auto"/>
                <w:left w:val="none" w:sz="0" w:space="0" w:color="auto"/>
                <w:bottom w:val="none" w:sz="0" w:space="0" w:color="auto"/>
                <w:right w:val="none" w:sz="0" w:space="0" w:color="auto"/>
              </w:divBdr>
            </w:div>
            <w:div w:id="1382553464">
              <w:marLeft w:val="0"/>
              <w:marRight w:val="0"/>
              <w:marTop w:val="0"/>
              <w:marBottom w:val="0"/>
              <w:divBdr>
                <w:top w:val="none" w:sz="0" w:space="0" w:color="auto"/>
                <w:left w:val="none" w:sz="0" w:space="0" w:color="auto"/>
                <w:bottom w:val="none" w:sz="0" w:space="0" w:color="auto"/>
                <w:right w:val="none" w:sz="0" w:space="0" w:color="auto"/>
              </w:divBdr>
            </w:div>
            <w:div w:id="1382553470">
              <w:marLeft w:val="0"/>
              <w:marRight w:val="0"/>
              <w:marTop w:val="0"/>
              <w:marBottom w:val="0"/>
              <w:divBdr>
                <w:top w:val="none" w:sz="0" w:space="0" w:color="auto"/>
                <w:left w:val="none" w:sz="0" w:space="0" w:color="auto"/>
                <w:bottom w:val="none" w:sz="0" w:space="0" w:color="auto"/>
                <w:right w:val="none" w:sz="0" w:space="0" w:color="auto"/>
              </w:divBdr>
            </w:div>
            <w:div w:id="1382553475">
              <w:marLeft w:val="0"/>
              <w:marRight w:val="0"/>
              <w:marTop w:val="0"/>
              <w:marBottom w:val="0"/>
              <w:divBdr>
                <w:top w:val="none" w:sz="0" w:space="0" w:color="auto"/>
                <w:left w:val="none" w:sz="0" w:space="0" w:color="auto"/>
                <w:bottom w:val="none" w:sz="0" w:space="0" w:color="auto"/>
                <w:right w:val="none" w:sz="0" w:space="0" w:color="auto"/>
              </w:divBdr>
            </w:div>
            <w:div w:id="1382553501">
              <w:marLeft w:val="0"/>
              <w:marRight w:val="0"/>
              <w:marTop w:val="0"/>
              <w:marBottom w:val="0"/>
              <w:divBdr>
                <w:top w:val="none" w:sz="0" w:space="0" w:color="auto"/>
                <w:left w:val="none" w:sz="0" w:space="0" w:color="auto"/>
                <w:bottom w:val="none" w:sz="0" w:space="0" w:color="auto"/>
                <w:right w:val="none" w:sz="0" w:space="0" w:color="auto"/>
              </w:divBdr>
            </w:div>
            <w:div w:id="1382553502">
              <w:marLeft w:val="0"/>
              <w:marRight w:val="0"/>
              <w:marTop w:val="0"/>
              <w:marBottom w:val="0"/>
              <w:divBdr>
                <w:top w:val="none" w:sz="0" w:space="0" w:color="auto"/>
                <w:left w:val="none" w:sz="0" w:space="0" w:color="auto"/>
                <w:bottom w:val="none" w:sz="0" w:space="0" w:color="auto"/>
                <w:right w:val="none" w:sz="0" w:space="0" w:color="auto"/>
              </w:divBdr>
            </w:div>
          </w:divsChild>
        </w:div>
        <w:div w:id="1382553493">
          <w:marLeft w:val="72"/>
          <w:marRight w:val="72"/>
          <w:marTop w:val="72"/>
          <w:marBottom w:val="72"/>
          <w:divBdr>
            <w:top w:val="none" w:sz="0" w:space="0" w:color="auto"/>
            <w:left w:val="none" w:sz="0" w:space="0" w:color="auto"/>
            <w:bottom w:val="none" w:sz="0" w:space="0" w:color="auto"/>
            <w:right w:val="none" w:sz="0" w:space="0" w:color="auto"/>
          </w:divBdr>
          <w:divsChild>
            <w:div w:id="1382553465">
              <w:marLeft w:val="0"/>
              <w:marRight w:val="0"/>
              <w:marTop w:val="0"/>
              <w:marBottom w:val="0"/>
              <w:divBdr>
                <w:top w:val="none" w:sz="0" w:space="0" w:color="auto"/>
                <w:left w:val="none" w:sz="0" w:space="0" w:color="auto"/>
                <w:bottom w:val="none" w:sz="0" w:space="0" w:color="auto"/>
                <w:right w:val="none" w:sz="0" w:space="0" w:color="auto"/>
              </w:divBdr>
            </w:div>
            <w:div w:id="1382553497">
              <w:marLeft w:val="0"/>
              <w:marRight w:val="0"/>
              <w:marTop w:val="0"/>
              <w:marBottom w:val="0"/>
              <w:divBdr>
                <w:top w:val="none" w:sz="0" w:space="0" w:color="auto"/>
                <w:left w:val="none" w:sz="0" w:space="0" w:color="auto"/>
                <w:bottom w:val="none" w:sz="0" w:space="0" w:color="auto"/>
                <w:right w:val="none" w:sz="0" w:space="0" w:color="auto"/>
              </w:divBdr>
            </w:div>
          </w:divsChild>
        </w:div>
        <w:div w:id="1382553505">
          <w:marLeft w:val="72"/>
          <w:marRight w:val="72"/>
          <w:marTop w:val="72"/>
          <w:marBottom w:val="72"/>
          <w:divBdr>
            <w:top w:val="none" w:sz="0" w:space="0" w:color="auto"/>
            <w:left w:val="none" w:sz="0" w:space="0" w:color="auto"/>
            <w:bottom w:val="none" w:sz="0" w:space="0" w:color="auto"/>
            <w:right w:val="none" w:sz="0" w:space="0" w:color="auto"/>
          </w:divBdr>
          <w:divsChild>
            <w:div w:id="1382553450">
              <w:marLeft w:val="0"/>
              <w:marRight w:val="0"/>
              <w:marTop w:val="0"/>
              <w:marBottom w:val="0"/>
              <w:divBdr>
                <w:top w:val="none" w:sz="0" w:space="0" w:color="auto"/>
                <w:left w:val="none" w:sz="0" w:space="0" w:color="auto"/>
                <w:bottom w:val="none" w:sz="0" w:space="0" w:color="auto"/>
                <w:right w:val="none" w:sz="0" w:space="0" w:color="auto"/>
              </w:divBdr>
            </w:div>
            <w:div w:id="13825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3474">
      <w:marLeft w:val="0"/>
      <w:marRight w:val="0"/>
      <w:marTop w:val="0"/>
      <w:marBottom w:val="0"/>
      <w:divBdr>
        <w:top w:val="none" w:sz="0" w:space="0" w:color="auto"/>
        <w:left w:val="none" w:sz="0" w:space="0" w:color="auto"/>
        <w:bottom w:val="none" w:sz="0" w:space="0" w:color="auto"/>
        <w:right w:val="none" w:sz="0" w:space="0" w:color="auto"/>
      </w:divBdr>
      <w:divsChild>
        <w:div w:id="1382553449">
          <w:marLeft w:val="72"/>
          <w:marRight w:val="72"/>
          <w:marTop w:val="72"/>
          <w:marBottom w:val="72"/>
          <w:divBdr>
            <w:top w:val="none" w:sz="0" w:space="0" w:color="auto"/>
            <w:left w:val="none" w:sz="0" w:space="0" w:color="auto"/>
            <w:bottom w:val="none" w:sz="0" w:space="0" w:color="auto"/>
            <w:right w:val="none" w:sz="0" w:space="0" w:color="auto"/>
          </w:divBdr>
        </w:div>
        <w:div w:id="1382553460">
          <w:marLeft w:val="72"/>
          <w:marRight w:val="72"/>
          <w:marTop w:val="72"/>
          <w:marBottom w:val="72"/>
          <w:divBdr>
            <w:top w:val="none" w:sz="0" w:space="0" w:color="auto"/>
            <w:left w:val="none" w:sz="0" w:space="0" w:color="auto"/>
            <w:bottom w:val="none" w:sz="0" w:space="0" w:color="auto"/>
            <w:right w:val="none" w:sz="0" w:space="0" w:color="auto"/>
          </w:divBdr>
          <w:divsChild>
            <w:div w:id="1382553459">
              <w:marLeft w:val="0"/>
              <w:marRight w:val="0"/>
              <w:marTop w:val="0"/>
              <w:marBottom w:val="0"/>
              <w:divBdr>
                <w:top w:val="none" w:sz="0" w:space="0" w:color="auto"/>
                <w:left w:val="none" w:sz="0" w:space="0" w:color="auto"/>
                <w:bottom w:val="none" w:sz="0" w:space="0" w:color="auto"/>
                <w:right w:val="none" w:sz="0" w:space="0" w:color="auto"/>
              </w:divBdr>
            </w:div>
            <w:div w:id="1382553469">
              <w:marLeft w:val="0"/>
              <w:marRight w:val="0"/>
              <w:marTop w:val="0"/>
              <w:marBottom w:val="0"/>
              <w:divBdr>
                <w:top w:val="none" w:sz="0" w:space="0" w:color="auto"/>
                <w:left w:val="none" w:sz="0" w:space="0" w:color="auto"/>
                <w:bottom w:val="none" w:sz="0" w:space="0" w:color="auto"/>
                <w:right w:val="none" w:sz="0" w:space="0" w:color="auto"/>
              </w:divBdr>
            </w:div>
            <w:div w:id="1382553484">
              <w:marLeft w:val="0"/>
              <w:marRight w:val="0"/>
              <w:marTop w:val="0"/>
              <w:marBottom w:val="0"/>
              <w:divBdr>
                <w:top w:val="none" w:sz="0" w:space="0" w:color="auto"/>
                <w:left w:val="none" w:sz="0" w:space="0" w:color="auto"/>
                <w:bottom w:val="none" w:sz="0" w:space="0" w:color="auto"/>
                <w:right w:val="none" w:sz="0" w:space="0" w:color="auto"/>
              </w:divBdr>
            </w:div>
          </w:divsChild>
        </w:div>
        <w:div w:id="1382553468">
          <w:marLeft w:val="72"/>
          <w:marRight w:val="72"/>
          <w:marTop w:val="72"/>
          <w:marBottom w:val="72"/>
          <w:divBdr>
            <w:top w:val="none" w:sz="0" w:space="0" w:color="auto"/>
            <w:left w:val="none" w:sz="0" w:space="0" w:color="auto"/>
            <w:bottom w:val="none" w:sz="0" w:space="0" w:color="auto"/>
            <w:right w:val="none" w:sz="0" w:space="0" w:color="auto"/>
          </w:divBdr>
          <w:divsChild>
            <w:div w:id="1382553453">
              <w:marLeft w:val="0"/>
              <w:marRight w:val="0"/>
              <w:marTop w:val="0"/>
              <w:marBottom w:val="0"/>
              <w:divBdr>
                <w:top w:val="none" w:sz="0" w:space="0" w:color="auto"/>
                <w:left w:val="none" w:sz="0" w:space="0" w:color="auto"/>
                <w:bottom w:val="none" w:sz="0" w:space="0" w:color="auto"/>
                <w:right w:val="none" w:sz="0" w:space="0" w:color="auto"/>
              </w:divBdr>
            </w:div>
            <w:div w:id="1382553461">
              <w:marLeft w:val="0"/>
              <w:marRight w:val="0"/>
              <w:marTop w:val="0"/>
              <w:marBottom w:val="0"/>
              <w:divBdr>
                <w:top w:val="none" w:sz="0" w:space="0" w:color="auto"/>
                <w:left w:val="none" w:sz="0" w:space="0" w:color="auto"/>
                <w:bottom w:val="none" w:sz="0" w:space="0" w:color="auto"/>
                <w:right w:val="none" w:sz="0" w:space="0" w:color="auto"/>
              </w:divBdr>
            </w:div>
          </w:divsChild>
        </w:div>
        <w:div w:id="1382553476">
          <w:marLeft w:val="72"/>
          <w:marRight w:val="72"/>
          <w:marTop w:val="72"/>
          <w:marBottom w:val="72"/>
          <w:divBdr>
            <w:top w:val="none" w:sz="0" w:space="0" w:color="auto"/>
            <w:left w:val="none" w:sz="0" w:space="0" w:color="auto"/>
            <w:bottom w:val="none" w:sz="0" w:space="0" w:color="auto"/>
            <w:right w:val="none" w:sz="0" w:space="0" w:color="auto"/>
          </w:divBdr>
        </w:div>
        <w:div w:id="1382553477">
          <w:marLeft w:val="72"/>
          <w:marRight w:val="72"/>
          <w:marTop w:val="72"/>
          <w:marBottom w:val="72"/>
          <w:divBdr>
            <w:top w:val="none" w:sz="0" w:space="0" w:color="auto"/>
            <w:left w:val="none" w:sz="0" w:space="0" w:color="auto"/>
            <w:bottom w:val="none" w:sz="0" w:space="0" w:color="auto"/>
            <w:right w:val="none" w:sz="0" w:space="0" w:color="auto"/>
          </w:divBdr>
          <w:divsChild>
            <w:div w:id="1382553456">
              <w:marLeft w:val="0"/>
              <w:marRight w:val="0"/>
              <w:marTop w:val="0"/>
              <w:marBottom w:val="0"/>
              <w:divBdr>
                <w:top w:val="none" w:sz="0" w:space="0" w:color="auto"/>
                <w:left w:val="none" w:sz="0" w:space="0" w:color="auto"/>
                <w:bottom w:val="none" w:sz="0" w:space="0" w:color="auto"/>
                <w:right w:val="none" w:sz="0" w:space="0" w:color="auto"/>
              </w:divBdr>
            </w:div>
            <w:div w:id="1382553480">
              <w:marLeft w:val="0"/>
              <w:marRight w:val="0"/>
              <w:marTop w:val="0"/>
              <w:marBottom w:val="0"/>
              <w:divBdr>
                <w:top w:val="none" w:sz="0" w:space="0" w:color="auto"/>
                <w:left w:val="none" w:sz="0" w:space="0" w:color="auto"/>
                <w:bottom w:val="none" w:sz="0" w:space="0" w:color="auto"/>
                <w:right w:val="none" w:sz="0" w:space="0" w:color="auto"/>
              </w:divBdr>
            </w:div>
            <w:div w:id="1382553483">
              <w:marLeft w:val="0"/>
              <w:marRight w:val="0"/>
              <w:marTop w:val="0"/>
              <w:marBottom w:val="0"/>
              <w:divBdr>
                <w:top w:val="none" w:sz="0" w:space="0" w:color="auto"/>
                <w:left w:val="none" w:sz="0" w:space="0" w:color="auto"/>
                <w:bottom w:val="none" w:sz="0" w:space="0" w:color="auto"/>
                <w:right w:val="none" w:sz="0" w:space="0" w:color="auto"/>
              </w:divBdr>
            </w:div>
          </w:divsChild>
        </w:div>
        <w:div w:id="1382553489">
          <w:marLeft w:val="72"/>
          <w:marRight w:val="72"/>
          <w:marTop w:val="72"/>
          <w:marBottom w:val="72"/>
          <w:divBdr>
            <w:top w:val="none" w:sz="0" w:space="0" w:color="auto"/>
            <w:left w:val="none" w:sz="0" w:space="0" w:color="auto"/>
            <w:bottom w:val="none" w:sz="0" w:space="0" w:color="auto"/>
            <w:right w:val="none" w:sz="0" w:space="0" w:color="auto"/>
          </w:divBdr>
          <w:divsChild>
            <w:div w:id="1382553462">
              <w:marLeft w:val="0"/>
              <w:marRight w:val="0"/>
              <w:marTop w:val="0"/>
              <w:marBottom w:val="0"/>
              <w:divBdr>
                <w:top w:val="none" w:sz="0" w:space="0" w:color="auto"/>
                <w:left w:val="none" w:sz="0" w:space="0" w:color="auto"/>
                <w:bottom w:val="none" w:sz="0" w:space="0" w:color="auto"/>
                <w:right w:val="none" w:sz="0" w:space="0" w:color="auto"/>
              </w:divBdr>
            </w:div>
            <w:div w:id="1382553485">
              <w:marLeft w:val="0"/>
              <w:marRight w:val="0"/>
              <w:marTop w:val="0"/>
              <w:marBottom w:val="0"/>
              <w:divBdr>
                <w:top w:val="none" w:sz="0" w:space="0" w:color="auto"/>
                <w:left w:val="none" w:sz="0" w:space="0" w:color="auto"/>
                <w:bottom w:val="none" w:sz="0" w:space="0" w:color="auto"/>
                <w:right w:val="none" w:sz="0" w:space="0" w:color="auto"/>
              </w:divBdr>
            </w:div>
            <w:div w:id="1382553499">
              <w:marLeft w:val="0"/>
              <w:marRight w:val="0"/>
              <w:marTop w:val="0"/>
              <w:marBottom w:val="0"/>
              <w:divBdr>
                <w:top w:val="none" w:sz="0" w:space="0" w:color="auto"/>
                <w:left w:val="none" w:sz="0" w:space="0" w:color="auto"/>
                <w:bottom w:val="none" w:sz="0" w:space="0" w:color="auto"/>
                <w:right w:val="none" w:sz="0" w:space="0" w:color="auto"/>
              </w:divBdr>
            </w:div>
            <w:div w:id="1382553506">
              <w:marLeft w:val="0"/>
              <w:marRight w:val="0"/>
              <w:marTop w:val="0"/>
              <w:marBottom w:val="0"/>
              <w:divBdr>
                <w:top w:val="none" w:sz="0" w:space="0" w:color="auto"/>
                <w:left w:val="none" w:sz="0" w:space="0" w:color="auto"/>
                <w:bottom w:val="none" w:sz="0" w:space="0" w:color="auto"/>
                <w:right w:val="none" w:sz="0" w:space="0" w:color="auto"/>
              </w:divBdr>
            </w:div>
          </w:divsChild>
        </w:div>
        <w:div w:id="1382553494">
          <w:marLeft w:val="72"/>
          <w:marRight w:val="72"/>
          <w:marTop w:val="72"/>
          <w:marBottom w:val="72"/>
          <w:divBdr>
            <w:top w:val="none" w:sz="0" w:space="0" w:color="auto"/>
            <w:left w:val="none" w:sz="0" w:space="0" w:color="auto"/>
            <w:bottom w:val="none" w:sz="0" w:space="0" w:color="auto"/>
            <w:right w:val="none" w:sz="0" w:space="0" w:color="auto"/>
          </w:divBdr>
          <w:divsChild>
            <w:div w:id="1382553463">
              <w:marLeft w:val="0"/>
              <w:marRight w:val="0"/>
              <w:marTop w:val="0"/>
              <w:marBottom w:val="0"/>
              <w:divBdr>
                <w:top w:val="none" w:sz="0" w:space="0" w:color="auto"/>
                <w:left w:val="none" w:sz="0" w:space="0" w:color="auto"/>
                <w:bottom w:val="none" w:sz="0" w:space="0" w:color="auto"/>
                <w:right w:val="none" w:sz="0" w:space="0" w:color="auto"/>
              </w:divBdr>
            </w:div>
            <w:div w:id="1382553466">
              <w:marLeft w:val="0"/>
              <w:marRight w:val="0"/>
              <w:marTop w:val="0"/>
              <w:marBottom w:val="0"/>
              <w:divBdr>
                <w:top w:val="none" w:sz="0" w:space="0" w:color="auto"/>
                <w:left w:val="none" w:sz="0" w:space="0" w:color="auto"/>
                <w:bottom w:val="none" w:sz="0" w:space="0" w:color="auto"/>
                <w:right w:val="none" w:sz="0" w:space="0" w:color="auto"/>
              </w:divBdr>
            </w:div>
            <w:div w:id="1382553467">
              <w:marLeft w:val="0"/>
              <w:marRight w:val="0"/>
              <w:marTop w:val="0"/>
              <w:marBottom w:val="0"/>
              <w:divBdr>
                <w:top w:val="none" w:sz="0" w:space="0" w:color="auto"/>
                <w:left w:val="none" w:sz="0" w:space="0" w:color="auto"/>
                <w:bottom w:val="none" w:sz="0" w:space="0" w:color="auto"/>
                <w:right w:val="none" w:sz="0" w:space="0" w:color="auto"/>
              </w:divBdr>
            </w:div>
            <w:div w:id="1382553478">
              <w:marLeft w:val="0"/>
              <w:marRight w:val="0"/>
              <w:marTop w:val="0"/>
              <w:marBottom w:val="0"/>
              <w:divBdr>
                <w:top w:val="none" w:sz="0" w:space="0" w:color="auto"/>
                <w:left w:val="none" w:sz="0" w:space="0" w:color="auto"/>
                <w:bottom w:val="none" w:sz="0" w:space="0" w:color="auto"/>
                <w:right w:val="none" w:sz="0" w:space="0" w:color="auto"/>
              </w:divBdr>
            </w:div>
            <w:div w:id="1382553481">
              <w:marLeft w:val="0"/>
              <w:marRight w:val="0"/>
              <w:marTop w:val="0"/>
              <w:marBottom w:val="0"/>
              <w:divBdr>
                <w:top w:val="none" w:sz="0" w:space="0" w:color="auto"/>
                <w:left w:val="none" w:sz="0" w:space="0" w:color="auto"/>
                <w:bottom w:val="none" w:sz="0" w:space="0" w:color="auto"/>
                <w:right w:val="none" w:sz="0" w:space="0" w:color="auto"/>
              </w:divBdr>
            </w:div>
          </w:divsChild>
        </w:div>
        <w:div w:id="1382553503">
          <w:marLeft w:val="72"/>
          <w:marRight w:val="72"/>
          <w:marTop w:val="72"/>
          <w:marBottom w:val="72"/>
          <w:divBdr>
            <w:top w:val="none" w:sz="0" w:space="0" w:color="auto"/>
            <w:left w:val="none" w:sz="0" w:space="0" w:color="auto"/>
            <w:bottom w:val="none" w:sz="0" w:space="0" w:color="auto"/>
            <w:right w:val="none" w:sz="0" w:space="0" w:color="auto"/>
          </w:divBdr>
        </w:div>
      </w:divsChild>
    </w:div>
    <w:div w:id="1382553486">
      <w:marLeft w:val="0"/>
      <w:marRight w:val="0"/>
      <w:marTop w:val="0"/>
      <w:marBottom w:val="0"/>
      <w:divBdr>
        <w:top w:val="none" w:sz="0" w:space="0" w:color="auto"/>
        <w:left w:val="none" w:sz="0" w:space="0" w:color="auto"/>
        <w:bottom w:val="none" w:sz="0" w:space="0" w:color="auto"/>
        <w:right w:val="none" w:sz="0" w:space="0" w:color="auto"/>
      </w:divBdr>
      <w:divsChild>
        <w:div w:id="1382553495">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82553487">
      <w:marLeft w:val="0"/>
      <w:marRight w:val="0"/>
      <w:marTop w:val="0"/>
      <w:marBottom w:val="0"/>
      <w:divBdr>
        <w:top w:val="none" w:sz="0" w:space="0" w:color="auto"/>
        <w:left w:val="none" w:sz="0" w:space="0" w:color="auto"/>
        <w:bottom w:val="none" w:sz="0" w:space="0" w:color="auto"/>
        <w:right w:val="none" w:sz="0" w:space="0" w:color="auto"/>
      </w:divBdr>
    </w:div>
    <w:div w:id="1382553491">
      <w:marLeft w:val="0"/>
      <w:marRight w:val="0"/>
      <w:marTop w:val="0"/>
      <w:marBottom w:val="0"/>
      <w:divBdr>
        <w:top w:val="none" w:sz="0" w:space="0" w:color="auto"/>
        <w:left w:val="none" w:sz="0" w:space="0" w:color="auto"/>
        <w:bottom w:val="none" w:sz="0" w:space="0" w:color="auto"/>
        <w:right w:val="none" w:sz="0" w:space="0" w:color="auto"/>
      </w:divBdr>
      <w:divsChild>
        <w:div w:id="1382553457">
          <w:marLeft w:val="72"/>
          <w:marRight w:val="72"/>
          <w:marTop w:val="72"/>
          <w:marBottom w:val="72"/>
          <w:divBdr>
            <w:top w:val="none" w:sz="0" w:space="0" w:color="auto"/>
            <w:left w:val="none" w:sz="0" w:space="0" w:color="auto"/>
            <w:bottom w:val="none" w:sz="0" w:space="0" w:color="auto"/>
            <w:right w:val="none" w:sz="0" w:space="0" w:color="auto"/>
          </w:divBdr>
        </w:div>
        <w:div w:id="1382553482">
          <w:marLeft w:val="72"/>
          <w:marRight w:val="72"/>
          <w:marTop w:val="72"/>
          <w:marBottom w:val="72"/>
          <w:divBdr>
            <w:top w:val="none" w:sz="0" w:space="0" w:color="auto"/>
            <w:left w:val="none" w:sz="0" w:space="0" w:color="auto"/>
            <w:bottom w:val="none" w:sz="0" w:space="0" w:color="auto"/>
            <w:right w:val="none" w:sz="0" w:space="0" w:color="auto"/>
          </w:divBdr>
        </w:div>
        <w:div w:id="1382553488">
          <w:marLeft w:val="72"/>
          <w:marRight w:val="72"/>
          <w:marTop w:val="72"/>
          <w:marBottom w:val="72"/>
          <w:divBdr>
            <w:top w:val="none" w:sz="0" w:space="0" w:color="auto"/>
            <w:left w:val="none" w:sz="0" w:space="0" w:color="auto"/>
            <w:bottom w:val="none" w:sz="0" w:space="0" w:color="auto"/>
            <w:right w:val="none" w:sz="0" w:space="0" w:color="auto"/>
          </w:divBdr>
        </w:div>
      </w:divsChild>
    </w:div>
    <w:div w:id="1382553498">
      <w:marLeft w:val="0"/>
      <w:marRight w:val="0"/>
      <w:marTop w:val="0"/>
      <w:marBottom w:val="0"/>
      <w:divBdr>
        <w:top w:val="none" w:sz="0" w:space="0" w:color="auto"/>
        <w:left w:val="none" w:sz="0" w:space="0" w:color="auto"/>
        <w:bottom w:val="none" w:sz="0" w:space="0" w:color="auto"/>
        <w:right w:val="none" w:sz="0" w:space="0" w:color="auto"/>
      </w:divBdr>
      <w:divsChild>
        <w:div w:id="1382553472">
          <w:marLeft w:val="72"/>
          <w:marRight w:val="72"/>
          <w:marTop w:val="72"/>
          <w:marBottom w:val="72"/>
          <w:divBdr>
            <w:top w:val="none" w:sz="0" w:space="0" w:color="auto"/>
            <w:left w:val="none" w:sz="0" w:space="0" w:color="auto"/>
            <w:bottom w:val="none" w:sz="0" w:space="0" w:color="auto"/>
            <w:right w:val="none" w:sz="0" w:space="0" w:color="auto"/>
          </w:divBdr>
          <w:divsChild>
            <w:div w:id="1382553446">
              <w:marLeft w:val="0"/>
              <w:marRight w:val="0"/>
              <w:marTop w:val="0"/>
              <w:marBottom w:val="0"/>
              <w:divBdr>
                <w:top w:val="none" w:sz="0" w:space="0" w:color="auto"/>
                <w:left w:val="none" w:sz="0" w:space="0" w:color="auto"/>
                <w:bottom w:val="none" w:sz="0" w:space="0" w:color="auto"/>
                <w:right w:val="none" w:sz="0" w:space="0" w:color="auto"/>
              </w:divBdr>
            </w:div>
            <w:div w:id="1382553479">
              <w:marLeft w:val="0"/>
              <w:marRight w:val="0"/>
              <w:marTop w:val="0"/>
              <w:marBottom w:val="0"/>
              <w:divBdr>
                <w:top w:val="none" w:sz="0" w:space="0" w:color="auto"/>
                <w:left w:val="none" w:sz="0" w:space="0" w:color="auto"/>
                <w:bottom w:val="none" w:sz="0" w:space="0" w:color="auto"/>
                <w:right w:val="none" w:sz="0" w:space="0" w:color="auto"/>
              </w:divBdr>
            </w:div>
            <w:div w:id="1382553500">
              <w:marLeft w:val="0"/>
              <w:marRight w:val="0"/>
              <w:marTop w:val="0"/>
              <w:marBottom w:val="0"/>
              <w:divBdr>
                <w:top w:val="none" w:sz="0" w:space="0" w:color="auto"/>
                <w:left w:val="none" w:sz="0" w:space="0" w:color="auto"/>
                <w:bottom w:val="none" w:sz="0" w:space="0" w:color="auto"/>
                <w:right w:val="none" w:sz="0" w:space="0" w:color="auto"/>
              </w:divBdr>
            </w:div>
            <w:div w:id="1382553504">
              <w:marLeft w:val="0"/>
              <w:marRight w:val="0"/>
              <w:marTop w:val="0"/>
              <w:marBottom w:val="0"/>
              <w:divBdr>
                <w:top w:val="none" w:sz="0" w:space="0" w:color="auto"/>
                <w:left w:val="none" w:sz="0" w:space="0" w:color="auto"/>
                <w:bottom w:val="none" w:sz="0" w:space="0" w:color="auto"/>
                <w:right w:val="none" w:sz="0" w:space="0" w:color="auto"/>
              </w:divBdr>
            </w:div>
          </w:divsChild>
        </w:div>
        <w:div w:id="1382553496">
          <w:marLeft w:val="72"/>
          <w:marRight w:val="72"/>
          <w:marTop w:val="72"/>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egis.ro/oficiale/index/act/56923/datac/2006-05-17" TargetMode="External"/><Relationship Id="rId13" Type="http://schemas.openxmlformats.org/officeDocument/2006/relationships/hyperlink" Target="https://www.ilegis.ro/oficiale/index/act/56923/datac/2006-0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egis.ro/oficiale/index/printDire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gis.ro/oficiale/index/act/56923/datac/2006-05-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legis.ro/oficiale/index/act/56923/datac/2006-05-17" TargetMode="External"/><Relationship Id="rId4" Type="http://schemas.openxmlformats.org/officeDocument/2006/relationships/settings" Target="settings.xml"/><Relationship Id="rId9" Type="http://schemas.openxmlformats.org/officeDocument/2006/relationships/hyperlink" Target="https://www.ilegis.ro/oficiale/index/act/56923/datac/2006-05-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3EBB8-4867-42D0-9CC7-8FD51B61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CJosan</dc:creator>
  <cp:keywords/>
  <dc:description/>
  <cp:lastModifiedBy>igaurean</cp:lastModifiedBy>
  <cp:revision>32</cp:revision>
  <cp:lastPrinted>2018-01-21T15:19:00Z</cp:lastPrinted>
  <dcterms:created xsi:type="dcterms:W3CDTF">2019-06-12T07:06:00Z</dcterms:created>
  <dcterms:modified xsi:type="dcterms:W3CDTF">2019-07-17T08:23:00Z</dcterms:modified>
</cp:coreProperties>
</file>