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396A86" w:rsidRPr="00E06BE1" w:rsidTr="002D3AA5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396A86" w:rsidRPr="00E06BE1" w:rsidRDefault="00396A86" w:rsidP="002D3AA5">
            <w:pPr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>ROMÂNIA</w:t>
            </w:r>
          </w:p>
          <w:p w:rsidR="00396A86" w:rsidRPr="00E06BE1" w:rsidRDefault="00396A86" w:rsidP="002D3AA5">
            <w:pPr>
              <w:jc w:val="both"/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>JUDEŢUL TIMIŞ</w:t>
            </w:r>
          </w:p>
          <w:p w:rsidR="00396A86" w:rsidRPr="00E06BE1" w:rsidRDefault="00396A86" w:rsidP="002D3AA5">
            <w:pPr>
              <w:jc w:val="both"/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>MUNICIPIUL TIMIŞOARA</w:t>
            </w:r>
          </w:p>
          <w:p w:rsidR="00396A86" w:rsidRPr="00E06BE1" w:rsidRDefault="00396A86" w:rsidP="002D3AA5">
            <w:pPr>
              <w:jc w:val="both"/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>DIRECŢIA DE COMUNICARE</w:t>
            </w:r>
          </w:p>
          <w:p w:rsidR="00396A86" w:rsidRPr="00E06BE1" w:rsidRDefault="00396A86" w:rsidP="002D3AA5">
            <w:pPr>
              <w:jc w:val="both"/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>Biroul Organizare Evenimente</w:t>
            </w:r>
          </w:p>
          <w:p w:rsidR="00396A86" w:rsidRPr="00E06BE1" w:rsidRDefault="0036604F" w:rsidP="002D3AA5">
            <w:pPr>
              <w:jc w:val="both"/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>SC2015</w:t>
            </w:r>
            <w:r w:rsidR="00E366FA">
              <w:rPr>
                <w:sz w:val="20"/>
                <w:szCs w:val="20"/>
              </w:rPr>
              <w:t xml:space="preserve"> – 1127 – 19.01.2015</w:t>
            </w:r>
          </w:p>
        </w:tc>
        <w:tc>
          <w:tcPr>
            <w:tcW w:w="3236" w:type="dxa"/>
            <w:tcBorders>
              <w:bottom w:val="nil"/>
            </w:tcBorders>
          </w:tcPr>
          <w:p w:rsidR="00396A86" w:rsidRPr="00E06BE1" w:rsidRDefault="00396A86" w:rsidP="002D3AA5">
            <w:pPr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 xml:space="preserve">APROBAT </w:t>
            </w:r>
          </w:p>
          <w:p w:rsidR="00396A86" w:rsidRPr="00E06BE1" w:rsidRDefault="00396A86" w:rsidP="002D3AA5">
            <w:pPr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>PRIMAR,</w:t>
            </w:r>
          </w:p>
          <w:p w:rsidR="00396A86" w:rsidRPr="00E06BE1" w:rsidRDefault="00396A86" w:rsidP="002D3AA5">
            <w:pPr>
              <w:rPr>
                <w:sz w:val="20"/>
                <w:szCs w:val="20"/>
              </w:rPr>
            </w:pPr>
          </w:p>
          <w:p w:rsidR="00396A86" w:rsidRPr="00E06BE1" w:rsidRDefault="00396A86" w:rsidP="002D3AA5">
            <w:pPr>
              <w:rPr>
                <w:sz w:val="20"/>
                <w:szCs w:val="20"/>
              </w:rPr>
            </w:pPr>
          </w:p>
          <w:p w:rsidR="00396A86" w:rsidRPr="00E06BE1" w:rsidRDefault="00396A86" w:rsidP="002D3AA5">
            <w:pPr>
              <w:rPr>
                <w:sz w:val="20"/>
                <w:szCs w:val="20"/>
              </w:rPr>
            </w:pPr>
            <w:r w:rsidRPr="00E06BE1">
              <w:rPr>
                <w:sz w:val="20"/>
                <w:szCs w:val="20"/>
              </w:rPr>
              <w:t xml:space="preserve">NICOLAE ROBU </w:t>
            </w:r>
          </w:p>
        </w:tc>
        <w:tc>
          <w:tcPr>
            <w:tcW w:w="1242" w:type="dxa"/>
            <w:tcBorders>
              <w:bottom w:val="nil"/>
            </w:tcBorders>
          </w:tcPr>
          <w:p w:rsidR="00396A86" w:rsidRPr="00E06BE1" w:rsidRDefault="00396A86" w:rsidP="002D3AA5">
            <w:pPr>
              <w:rPr>
                <w:sz w:val="20"/>
                <w:szCs w:val="20"/>
              </w:rPr>
            </w:pPr>
            <w:r w:rsidRPr="00E06BE1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19125" cy="972185"/>
                  <wp:effectExtent l="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A86" w:rsidRPr="00E06BE1" w:rsidRDefault="00396A86" w:rsidP="002D3AA5">
            <w:pPr>
              <w:rPr>
                <w:sz w:val="20"/>
                <w:szCs w:val="20"/>
              </w:rPr>
            </w:pPr>
          </w:p>
        </w:tc>
      </w:tr>
      <w:tr w:rsidR="00396A86" w:rsidRPr="00390240" w:rsidTr="002D3AA5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396A86" w:rsidRPr="00E06BE1" w:rsidRDefault="00396A86" w:rsidP="002D3AA5">
            <w:pPr>
              <w:jc w:val="center"/>
              <w:rPr>
                <w:sz w:val="16"/>
                <w:szCs w:val="16"/>
              </w:rPr>
            </w:pPr>
            <w:r w:rsidRPr="00E06BE1">
              <w:rPr>
                <w:b/>
                <w:i/>
                <w:sz w:val="16"/>
                <w:szCs w:val="16"/>
              </w:rPr>
              <w:t>Bd. C.D. Loga nr. 1, Timişoara, tel/fax: +40 256 -204886, e-mail</w:t>
            </w:r>
            <w:r w:rsidRPr="00E06BE1">
              <w:rPr>
                <w:b/>
                <w:i/>
                <w:color w:val="0000FF"/>
                <w:sz w:val="16"/>
                <w:szCs w:val="16"/>
              </w:rPr>
              <w:t xml:space="preserve">: primariatm@primariatm.ro </w:t>
            </w:r>
            <w:r w:rsidRPr="00E06BE1">
              <w:rPr>
                <w:b/>
                <w:i/>
                <w:sz w:val="16"/>
                <w:szCs w:val="16"/>
              </w:rPr>
              <w:t xml:space="preserve">internet: </w:t>
            </w:r>
            <w:r w:rsidRPr="00E06BE1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E06BE1">
              <w:rPr>
                <w:b/>
                <w:i/>
                <w:sz w:val="16"/>
                <w:szCs w:val="16"/>
              </w:rPr>
              <w:t>.</w:t>
            </w:r>
            <w:r w:rsidRPr="00E06BE1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396A86" w:rsidRDefault="00396A86" w:rsidP="00396A86">
      <w:pPr>
        <w:rPr>
          <w:sz w:val="24"/>
          <w:szCs w:val="24"/>
        </w:rPr>
      </w:pPr>
      <w:r w:rsidRPr="00390240">
        <w:rPr>
          <w:sz w:val="24"/>
          <w:szCs w:val="24"/>
        </w:rPr>
        <w:t xml:space="preserve">   </w:t>
      </w:r>
    </w:p>
    <w:p w:rsidR="006301D5" w:rsidRPr="00390240" w:rsidRDefault="006301D5" w:rsidP="00396A86">
      <w:pPr>
        <w:rPr>
          <w:sz w:val="24"/>
          <w:szCs w:val="24"/>
        </w:rPr>
      </w:pPr>
    </w:p>
    <w:p w:rsidR="00E841C1" w:rsidRPr="00E06BE1" w:rsidRDefault="00E841C1" w:rsidP="00396A86">
      <w:pPr>
        <w:rPr>
          <w:sz w:val="16"/>
          <w:szCs w:val="16"/>
        </w:rPr>
      </w:pPr>
    </w:p>
    <w:p w:rsidR="00396A86" w:rsidRDefault="00396A86" w:rsidP="00396A86">
      <w:pPr>
        <w:pStyle w:val="Heading1"/>
        <w:rPr>
          <w:b w:val="0"/>
          <w:sz w:val="24"/>
          <w:szCs w:val="24"/>
        </w:rPr>
      </w:pPr>
      <w:r w:rsidRPr="00390240">
        <w:rPr>
          <w:b w:val="0"/>
          <w:sz w:val="24"/>
          <w:szCs w:val="24"/>
        </w:rPr>
        <w:t>R E F E R A T</w:t>
      </w:r>
    </w:p>
    <w:p w:rsidR="00E06BE1" w:rsidRPr="00E06BE1" w:rsidRDefault="00E06BE1" w:rsidP="00E06BE1"/>
    <w:p w:rsidR="00396A86" w:rsidRPr="001F04A3" w:rsidRDefault="00396A86" w:rsidP="00396A86">
      <w:pPr>
        <w:rPr>
          <w:sz w:val="16"/>
          <w:szCs w:val="16"/>
        </w:rPr>
      </w:pPr>
    </w:p>
    <w:p w:rsidR="00E06BE1" w:rsidRDefault="00C1607D" w:rsidP="00C1607D">
      <w:pPr>
        <w:autoSpaceDE w:val="0"/>
        <w:autoSpaceDN w:val="0"/>
        <w:adjustRightInd w:val="0"/>
        <w:spacing w:after="200" w:line="276" w:lineRule="auto"/>
        <w:jc w:val="center"/>
        <w:rPr>
          <w:sz w:val="24"/>
          <w:szCs w:val="24"/>
        </w:rPr>
      </w:pPr>
      <w:r w:rsidRPr="00987909">
        <w:rPr>
          <w:bCs/>
          <w:color w:val="000000"/>
          <w:sz w:val="24"/>
          <w:szCs w:val="24"/>
        </w:rPr>
        <w:t xml:space="preserve">privind </w:t>
      </w:r>
      <w:r w:rsidR="002F2015">
        <w:rPr>
          <w:bCs/>
          <w:color w:val="000000"/>
          <w:sz w:val="24"/>
          <w:szCs w:val="24"/>
        </w:rPr>
        <w:t xml:space="preserve">continuarea proiectului </w:t>
      </w:r>
      <w:r w:rsidR="002F2015" w:rsidRPr="0094382E">
        <w:rPr>
          <w:rFonts w:eastAsiaTheme="minorHAnsi"/>
          <w:color w:val="000000"/>
          <w:sz w:val="24"/>
          <w:szCs w:val="24"/>
          <w:lang w:val="en-US"/>
        </w:rPr>
        <w:t>"</w:t>
      </w:r>
      <w:proofErr w:type="spellStart"/>
      <w:r w:rsidR="002F2015" w:rsidRPr="0094382E">
        <w:rPr>
          <w:rFonts w:eastAsiaTheme="minorHAnsi"/>
          <w:color w:val="000000"/>
          <w:sz w:val="24"/>
          <w:szCs w:val="24"/>
          <w:lang w:val="en-US"/>
        </w:rPr>
        <w:t>Participarea</w:t>
      </w:r>
      <w:proofErr w:type="spellEnd"/>
      <w:r w:rsidR="002F2015" w:rsidRPr="0094382E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2F2015" w:rsidRPr="0094382E">
        <w:rPr>
          <w:rFonts w:eastAsiaTheme="minorHAnsi"/>
          <w:color w:val="000000"/>
          <w:sz w:val="24"/>
          <w:szCs w:val="24"/>
          <w:lang w:val="en-US"/>
        </w:rPr>
        <w:t>c</w:t>
      </w:r>
      <w:r w:rsidR="002F2015">
        <w:rPr>
          <w:rFonts w:eastAsiaTheme="minorHAnsi"/>
          <w:color w:val="000000"/>
          <w:sz w:val="24"/>
          <w:szCs w:val="24"/>
          <w:lang w:val="en-US"/>
        </w:rPr>
        <w:t>etăţenilor</w:t>
      </w:r>
      <w:proofErr w:type="spellEnd"/>
      <w:r w:rsidR="002F2015">
        <w:rPr>
          <w:rFonts w:eastAsia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="002F2015">
        <w:rPr>
          <w:rFonts w:eastAsiaTheme="minorHAnsi"/>
          <w:color w:val="000000"/>
          <w:sz w:val="24"/>
          <w:szCs w:val="24"/>
          <w:lang w:val="en-US"/>
        </w:rPr>
        <w:t>actul</w:t>
      </w:r>
      <w:proofErr w:type="spellEnd"/>
      <w:r w:rsidR="002F2015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2F2015">
        <w:rPr>
          <w:rFonts w:eastAsiaTheme="minorHAnsi"/>
          <w:color w:val="000000"/>
          <w:sz w:val="24"/>
          <w:szCs w:val="24"/>
          <w:lang w:val="en-US"/>
        </w:rPr>
        <w:t>decizional</w:t>
      </w:r>
      <w:proofErr w:type="spellEnd"/>
      <w:r w:rsidR="002F2015">
        <w:rPr>
          <w:rFonts w:eastAsiaTheme="minorHAnsi"/>
          <w:color w:val="000000"/>
          <w:sz w:val="24"/>
          <w:szCs w:val="24"/>
          <w:lang w:val="en-US"/>
        </w:rPr>
        <w:t xml:space="preserve">” </w:t>
      </w:r>
      <w:r w:rsidR="002F2015" w:rsidRPr="0094382E">
        <w:rPr>
          <w:bCs/>
          <w:color w:val="000000"/>
          <w:sz w:val="24"/>
          <w:szCs w:val="24"/>
        </w:rPr>
        <w:t xml:space="preserve">pentru o perioadă de 12 luni calendaristice, </w:t>
      </w:r>
      <w:proofErr w:type="spellStart"/>
      <w:r w:rsidR="002F2015" w:rsidRPr="0094382E">
        <w:rPr>
          <w:rFonts w:eastAsiaTheme="minorHAnsi"/>
          <w:color w:val="000000"/>
          <w:sz w:val="24"/>
          <w:szCs w:val="24"/>
          <w:lang w:val="en-US"/>
        </w:rPr>
        <w:t>prin</w:t>
      </w:r>
      <w:proofErr w:type="spellEnd"/>
      <w:r w:rsidR="002F2015" w:rsidRPr="0094382E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r w:rsidR="002F2015" w:rsidRPr="0094382E">
        <w:rPr>
          <w:bCs/>
          <w:sz w:val="24"/>
          <w:szCs w:val="24"/>
        </w:rPr>
        <w:t xml:space="preserve">difuzarea în direct pe posturi de televiziune </w:t>
      </w:r>
      <w:r w:rsidR="002F2015" w:rsidRPr="0094382E">
        <w:rPr>
          <w:sz w:val="24"/>
          <w:szCs w:val="24"/>
        </w:rPr>
        <w:t>la nivel local a şedintelor de plen ordinare şi extraordinare ale Consiliului Local al Municipiului Timişoara</w:t>
      </w:r>
      <w:r w:rsidR="002F2015">
        <w:rPr>
          <w:sz w:val="24"/>
          <w:szCs w:val="24"/>
        </w:rPr>
        <w:t xml:space="preserve"> </w:t>
      </w:r>
    </w:p>
    <w:p w:rsidR="001F04A3" w:rsidRPr="001F04A3" w:rsidRDefault="001F04A3" w:rsidP="00C1607D">
      <w:pPr>
        <w:autoSpaceDE w:val="0"/>
        <w:autoSpaceDN w:val="0"/>
        <w:adjustRightInd w:val="0"/>
        <w:spacing w:after="200" w:line="276" w:lineRule="auto"/>
        <w:jc w:val="center"/>
        <w:rPr>
          <w:sz w:val="16"/>
          <w:szCs w:val="16"/>
        </w:rPr>
      </w:pPr>
    </w:p>
    <w:p w:rsidR="00396A86" w:rsidRDefault="006301D5" w:rsidP="00DE10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0FBA" w:rsidRPr="00AD0F01">
        <w:rPr>
          <w:sz w:val="24"/>
          <w:szCs w:val="24"/>
        </w:rPr>
        <w:t xml:space="preserve">Prin HCL </w:t>
      </w:r>
      <w:r w:rsidR="00DF49B9" w:rsidRPr="00AD0F01">
        <w:rPr>
          <w:sz w:val="24"/>
          <w:szCs w:val="24"/>
        </w:rPr>
        <w:t xml:space="preserve">318 din 26.06.2014 s-a </w:t>
      </w:r>
      <w:r w:rsidR="005309FA" w:rsidRPr="00AD0F01">
        <w:rPr>
          <w:sz w:val="24"/>
          <w:szCs w:val="24"/>
        </w:rPr>
        <w:t>aprobat</w:t>
      </w:r>
      <w:r w:rsidR="003027D2" w:rsidRPr="00AD0F01">
        <w:rPr>
          <w:sz w:val="24"/>
          <w:szCs w:val="24"/>
        </w:rPr>
        <w:t xml:space="preserve"> </w:t>
      </w:r>
      <w:r w:rsidR="00460FBA" w:rsidRPr="00AD0F01">
        <w:rPr>
          <w:sz w:val="24"/>
          <w:szCs w:val="24"/>
        </w:rPr>
        <w:t xml:space="preserve">proiectul </w:t>
      </w:r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"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Participarea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cetăţenilor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actul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decizional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”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prin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difuzarea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în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direct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pe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posturi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televiziune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nivel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local a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şedintelor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plen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ale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Consiliului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Local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Timişoara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pentru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creşterea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nivelului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responsabilitate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participanţilor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actul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decizional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interes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comunitar</w:t>
      </w:r>
      <w:proofErr w:type="spellEnd"/>
      <w:r w:rsidR="00AD0F01" w:rsidRPr="00AD0F01">
        <w:rPr>
          <w:rFonts w:eastAsiaTheme="minorHAnsi"/>
          <w:color w:val="000000"/>
          <w:sz w:val="24"/>
          <w:szCs w:val="24"/>
          <w:lang w:val="en-US"/>
        </w:rPr>
        <w:t>,</w:t>
      </w:r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şi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>totodată</w:t>
      </w:r>
      <w:proofErr w:type="spellEnd"/>
      <w:r w:rsidR="00460FB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r w:rsidR="003027D2" w:rsidRPr="00AD0F01">
        <w:rPr>
          <w:sz w:val="24"/>
          <w:szCs w:val="24"/>
        </w:rPr>
        <w:t xml:space="preserve">finanţarea </w:t>
      </w:r>
      <w:r w:rsidR="00460FBA" w:rsidRPr="00AD0F01">
        <w:rPr>
          <w:sz w:val="24"/>
          <w:szCs w:val="24"/>
        </w:rPr>
        <w:t xml:space="preserve">lui de la </w:t>
      </w:r>
      <w:r w:rsidR="00AD0F01" w:rsidRPr="00AD0F01">
        <w:rPr>
          <w:sz w:val="24"/>
          <w:szCs w:val="24"/>
        </w:rPr>
        <w:t>bugetul local al municipiului Timişoara</w:t>
      </w:r>
      <w:r w:rsidR="00DF49B9" w:rsidRPr="00AD0F01">
        <w:rPr>
          <w:sz w:val="24"/>
          <w:szCs w:val="24"/>
        </w:rPr>
        <w:t>, pentru anul 2014.</w:t>
      </w:r>
    </w:p>
    <w:p w:rsidR="006301D5" w:rsidRPr="00B117CF" w:rsidRDefault="006301D5" w:rsidP="00DE10C7">
      <w:pPr>
        <w:jc w:val="both"/>
        <w:rPr>
          <w:sz w:val="10"/>
          <w:szCs w:val="10"/>
        </w:rPr>
      </w:pPr>
    </w:p>
    <w:p w:rsidR="007B353C" w:rsidRDefault="007B353C" w:rsidP="007B353C">
      <w:pPr>
        <w:pStyle w:val="ListParagraph"/>
        <w:autoSpaceDE w:val="0"/>
        <w:autoSpaceDN w:val="0"/>
        <w:adjustRightInd w:val="0"/>
        <w:spacing w:after="200" w:line="276" w:lineRule="auto"/>
        <w:ind w:left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3027D2">
        <w:rPr>
          <w:bCs/>
          <w:color w:val="000000"/>
          <w:sz w:val="24"/>
          <w:szCs w:val="24"/>
        </w:rPr>
        <w:t>Astfel, p</w:t>
      </w:r>
      <w:r w:rsidR="00B65A5D" w:rsidRPr="00390240">
        <w:rPr>
          <w:bCs/>
          <w:color w:val="000000"/>
          <w:sz w:val="24"/>
          <w:szCs w:val="24"/>
        </w:rPr>
        <w:t xml:space="preserve">entru </w:t>
      </w:r>
      <w:r w:rsidR="00396A86" w:rsidRPr="00390240">
        <w:rPr>
          <w:bCs/>
          <w:color w:val="000000"/>
          <w:sz w:val="24"/>
          <w:szCs w:val="24"/>
        </w:rPr>
        <w:t xml:space="preserve">informarea publică asupra activităţii Consiliului Local al Municipiului Timişoara, Primăria </w:t>
      </w:r>
      <w:r w:rsidR="00396A86" w:rsidRPr="00390240">
        <w:rPr>
          <w:sz w:val="24"/>
          <w:szCs w:val="24"/>
        </w:rPr>
        <w:t>Municipiului Timişoara a</w:t>
      </w:r>
      <w:r w:rsidR="003027D2" w:rsidRPr="00390240">
        <w:rPr>
          <w:sz w:val="24"/>
          <w:szCs w:val="24"/>
        </w:rPr>
        <w:t xml:space="preserve"> transmis în direct şedinţele de plen ale Consiliului Local</w:t>
      </w:r>
      <w:r w:rsidR="003027D2">
        <w:rPr>
          <w:sz w:val="24"/>
          <w:szCs w:val="24"/>
        </w:rPr>
        <w:t xml:space="preserve"> Timişoara</w:t>
      </w:r>
      <w:r w:rsidR="00396A86" w:rsidRPr="00390240">
        <w:rPr>
          <w:sz w:val="24"/>
          <w:szCs w:val="24"/>
        </w:rPr>
        <w:t xml:space="preserve"> </w:t>
      </w:r>
      <w:r w:rsidR="003027D2">
        <w:rPr>
          <w:sz w:val="24"/>
          <w:szCs w:val="24"/>
        </w:rPr>
        <w:t>în lunile</w:t>
      </w:r>
      <w:r w:rsidR="0090358A" w:rsidRPr="00390240">
        <w:rPr>
          <w:sz w:val="24"/>
          <w:szCs w:val="24"/>
        </w:rPr>
        <w:t xml:space="preserve"> noiembrie şi decembrie 2014</w:t>
      </w:r>
      <w:r w:rsidR="003027D2">
        <w:rPr>
          <w:sz w:val="24"/>
          <w:szCs w:val="24"/>
        </w:rPr>
        <w:t>.</w:t>
      </w:r>
      <w:r w:rsidR="0090358A" w:rsidRPr="00390240">
        <w:rPr>
          <w:sz w:val="24"/>
          <w:szCs w:val="24"/>
        </w:rPr>
        <w:t xml:space="preserve"> </w:t>
      </w:r>
      <w:r w:rsidR="002240A4" w:rsidRPr="00390240">
        <w:rPr>
          <w:sz w:val="24"/>
          <w:szCs w:val="24"/>
        </w:rPr>
        <w:t>Atribuirea serviciului de transmisiune în direct s-a făcut prin cumpărare directă, c</w:t>
      </w:r>
      <w:r w:rsidR="002240A4">
        <w:rPr>
          <w:sz w:val="24"/>
          <w:szCs w:val="24"/>
        </w:rPr>
        <w:t>onform OUG 34/</w:t>
      </w:r>
      <w:r w:rsidR="002240A4" w:rsidRPr="00390240">
        <w:rPr>
          <w:sz w:val="24"/>
          <w:szCs w:val="24"/>
        </w:rPr>
        <w:t xml:space="preserve">2006 </w:t>
      </w:r>
      <w:r>
        <w:rPr>
          <w:sz w:val="24"/>
          <w:szCs w:val="24"/>
        </w:rPr>
        <w:t>privind privind atribuirea contractelor de achizitie publica, a contractelor de concesiune de lucrari publice si a contractelor de concesiune de servicii</w:t>
      </w:r>
      <w:r w:rsidR="006301D5">
        <w:rPr>
          <w:sz w:val="24"/>
          <w:szCs w:val="24"/>
        </w:rPr>
        <w:t>, pe baza contractului 269</w:t>
      </w:r>
      <w:r w:rsidR="006301D5">
        <w:rPr>
          <w:sz w:val="24"/>
          <w:szCs w:val="24"/>
          <w:lang w:val="en-US"/>
        </w:rPr>
        <w:t>/</w:t>
      </w:r>
      <w:r w:rsidR="006301D5">
        <w:rPr>
          <w:sz w:val="24"/>
          <w:szCs w:val="24"/>
        </w:rPr>
        <w:t>06.11.2014</w:t>
      </w:r>
      <w:r>
        <w:rPr>
          <w:sz w:val="24"/>
          <w:szCs w:val="24"/>
        </w:rPr>
        <w:t>.</w:t>
      </w:r>
    </w:p>
    <w:p w:rsidR="00396A86" w:rsidRPr="00390240" w:rsidRDefault="003027D2" w:rsidP="007B353C">
      <w:pPr>
        <w:pStyle w:val="ListParagraph"/>
        <w:autoSpaceDE w:val="0"/>
        <w:autoSpaceDN w:val="0"/>
        <w:adjustRightInd w:val="0"/>
        <w:spacing w:line="276" w:lineRule="auto"/>
        <w:ind w:left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Prin transmisiunile şedinţelor de plen în direct municipalitatea </w:t>
      </w:r>
      <w:r w:rsidR="00396A86" w:rsidRPr="00390240">
        <w:rPr>
          <w:bCs/>
          <w:color w:val="000000"/>
          <w:sz w:val="24"/>
          <w:szCs w:val="24"/>
        </w:rPr>
        <w:t>şi</w:t>
      </w:r>
      <w:r w:rsidR="00661158">
        <w:rPr>
          <w:bCs/>
          <w:color w:val="000000"/>
          <w:sz w:val="24"/>
          <w:szCs w:val="24"/>
        </w:rPr>
        <w:t>-a propus</w:t>
      </w:r>
      <w:r w:rsidR="00396A86" w:rsidRPr="00390240">
        <w:rPr>
          <w:bCs/>
          <w:color w:val="000000"/>
          <w:sz w:val="24"/>
          <w:szCs w:val="24"/>
        </w:rPr>
        <w:t xml:space="preserve">: </w:t>
      </w:r>
      <w:r w:rsidR="007B353C">
        <w:rPr>
          <w:bCs/>
          <w:color w:val="000000"/>
          <w:sz w:val="24"/>
          <w:szCs w:val="24"/>
        </w:rPr>
        <w:br/>
      </w:r>
      <w:r w:rsidR="00396A86" w:rsidRPr="00390240">
        <w:rPr>
          <w:bCs/>
          <w:color w:val="000000"/>
          <w:sz w:val="24"/>
          <w:szCs w:val="24"/>
        </w:rPr>
        <w:t>-</w:t>
      </w:r>
      <w:r w:rsidR="002E5E72">
        <w:rPr>
          <w:bCs/>
          <w:color w:val="000000"/>
          <w:sz w:val="24"/>
          <w:szCs w:val="24"/>
        </w:rPr>
        <w:t xml:space="preserve"> </w:t>
      </w:r>
      <w:r w:rsidR="00396A86" w:rsidRPr="00390240">
        <w:rPr>
          <w:bCs/>
          <w:color w:val="000000"/>
          <w:sz w:val="24"/>
          <w:szCs w:val="24"/>
        </w:rPr>
        <w:t>creşterea transparenţei activităţii Consiliului Local al Municipiului Timişoara;</w:t>
      </w:r>
    </w:p>
    <w:p w:rsidR="00396A86" w:rsidRPr="00390240" w:rsidRDefault="00396A86" w:rsidP="00396A86">
      <w:pPr>
        <w:jc w:val="both"/>
        <w:rPr>
          <w:bCs/>
          <w:color w:val="000000"/>
          <w:sz w:val="24"/>
          <w:szCs w:val="24"/>
        </w:rPr>
      </w:pPr>
      <w:r w:rsidRPr="00390240">
        <w:rPr>
          <w:bCs/>
          <w:color w:val="000000"/>
          <w:sz w:val="24"/>
          <w:szCs w:val="24"/>
        </w:rPr>
        <w:t>-</w:t>
      </w:r>
      <w:r w:rsidR="002E5E72">
        <w:rPr>
          <w:bCs/>
          <w:color w:val="000000"/>
          <w:sz w:val="24"/>
          <w:szCs w:val="24"/>
        </w:rPr>
        <w:t xml:space="preserve"> </w:t>
      </w:r>
      <w:r w:rsidRPr="00390240">
        <w:rPr>
          <w:bCs/>
          <w:color w:val="000000"/>
          <w:sz w:val="24"/>
          <w:szCs w:val="24"/>
        </w:rPr>
        <w:t>creşterea nivelului de responsabilitate a participanţilor la actul decizional de interes comunitar;</w:t>
      </w:r>
    </w:p>
    <w:p w:rsidR="00396A86" w:rsidRPr="00390240" w:rsidRDefault="002E5E72" w:rsidP="00396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96A86" w:rsidRPr="00390240">
        <w:rPr>
          <w:sz w:val="24"/>
          <w:szCs w:val="24"/>
        </w:rPr>
        <w:t>implementarea unui program complex de interacţiune</w:t>
      </w:r>
      <w:r w:rsidR="0090358A" w:rsidRPr="00390240">
        <w:rPr>
          <w:sz w:val="24"/>
          <w:szCs w:val="24"/>
        </w:rPr>
        <w:t xml:space="preserve"> î</w:t>
      </w:r>
      <w:r w:rsidR="00396A86" w:rsidRPr="00390240">
        <w:rPr>
          <w:sz w:val="24"/>
          <w:szCs w:val="24"/>
        </w:rPr>
        <w:t>ntre cetăţenii municipiului Timişoara şi reprezentanţii administraţiei locale, la nivel decizional şi executiv</w:t>
      </w:r>
      <w:r w:rsidR="0090358A" w:rsidRPr="00390240">
        <w:rPr>
          <w:sz w:val="24"/>
          <w:szCs w:val="24"/>
        </w:rPr>
        <w:t>;</w:t>
      </w:r>
    </w:p>
    <w:p w:rsidR="00396A86" w:rsidRDefault="00396A86" w:rsidP="00396A86">
      <w:pPr>
        <w:jc w:val="both"/>
        <w:rPr>
          <w:sz w:val="24"/>
          <w:szCs w:val="24"/>
        </w:rPr>
      </w:pPr>
      <w:r w:rsidRPr="00390240">
        <w:rPr>
          <w:sz w:val="24"/>
          <w:szCs w:val="24"/>
        </w:rPr>
        <w:t>- fluidizarea comunicării/schimbului de informaţii între aleşii locali şi structurile descrise mai sus.</w:t>
      </w:r>
      <w:r w:rsidR="00C81AFA">
        <w:rPr>
          <w:sz w:val="24"/>
          <w:szCs w:val="24"/>
        </w:rPr>
        <w:t xml:space="preserve"> Aceste puncte au fost realizate în ultimele două luni ale anului 2014.</w:t>
      </w:r>
    </w:p>
    <w:p w:rsidR="006301D5" w:rsidRPr="00B117CF" w:rsidRDefault="006301D5" w:rsidP="00396A86">
      <w:pPr>
        <w:jc w:val="both"/>
        <w:rPr>
          <w:sz w:val="10"/>
          <w:szCs w:val="10"/>
        </w:rPr>
      </w:pPr>
    </w:p>
    <w:p w:rsidR="00B65A5D" w:rsidRDefault="00396A86" w:rsidP="0090358A">
      <w:pPr>
        <w:ind w:firstLine="720"/>
        <w:jc w:val="both"/>
        <w:rPr>
          <w:sz w:val="24"/>
          <w:szCs w:val="24"/>
        </w:rPr>
      </w:pPr>
      <w:r w:rsidRPr="00390240">
        <w:rPr>
          <w:sz w:val="24"/>
          <w:szCs w:val="24"/>
        </w:rPr>
        <w:t xml:space="preserve">În vederea atingerii obiectivelor </w:t>
      </w:r>
      <w:r w:rsidR="0090358A" w:rsidRPr="00390240">
        <w:rPr>
          <w:sz w:val="24"/>
          <w:szCs w:val="24"/>
        </w:rPr>
        <w:t xml:space="preserve">mai sus </w:t>
      </w:r>
      <w:r w:rsidRPr="00390240">
        <w:rPr>
          <w:sz w:val="24"/>
          <w:szCs w:val="24"/>
        </w:rPr>
        <w:t xml:space="preserve">stabilite, </w:t>
      </w:r>
      <w:r w:rsidR="0090358A" w:rsidRPr="00390240">
        <w:rPr>
          <w:sz w:val="24"/>
          <w:szCs w:val="24"/>
        </w:rPr>
        <w:t xml:space="preserve">Municipiul Timişoara doreşte </w:t>
      </w:r>
      <w:r w:rsidR="0090358A" w:rsidRPr="00390240">
        <w:rPr>
          <w:bCs/>
          <w:iCs/>
          <w:sz w:val="24"/>
          <w:szCs w:val="24"/>
        </w:rPr>
        <w:t xml:space="preserve">să </w:t>
      </w:r>
      <w:r w:rsidR="00B7478C">
        <w:rPr>
          <w:bCs/>
          <w:iCs/>
          <w:sz w:val="24"/>
          <w:szCs w:val="24"/>
        </w:rPr>
        <w:t xml:space="preserve">transmita </w:t>
      </w:r>
      <w:r w:rsidR="00F37CCD" w:rsidRPr="00390240">
        <w:rPr>
          <w:bCs/>
          <w:iCs/>
          <w:sz w:val="24"/>
          <w:szCs w:val="24"/>
        </w:rPr>
        <w:t xml:space="preserve">în continuare </w:t>
      </w:r>
      <w:r w:rsidR="0090358A" w:rsidRPr="00390240">
        <w:rPr>
          <w:bCs/>
          <w:iCs/>
          <w:sz w:val="24"/>
          <w:szCs w:val="24"/>
        </w:rPr>
        <w:t>în direct şedinţele Consiliului Local Timişoara</w:t>
      </w:r>
      <w:r w:rsidR="0090358A" w:rsidRPr="00390240">
        <w:rPr>
          <w:sz w:val="24"/>
          <w:szCs w:val="24"/>
        </w:rPr>
        <w:t xml:space="preserve"> şi în perioada următoare. </w:t>
      </w:r>
    </w:p>
    <w:p w:rsidR="006301D5" w:rsidRPr="00B117CF" w:rsidRDefault="006301D5" w:rsidP="0090358A">
      <w:pPr>
        <w:ind w:firstLine="720"/>
        <w:jc w:val="both"/>
        <w:rPr>
          <w:sz w:val="10"/>
          <w:szCs w:val="10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  <w:r w:rsidRPr="00390240">
        <w:rPr>
          <w:sz w:val="24"/>
          <w:szCs w:val="24"/>
        </w:rPr>
        <w:tab/>
        <w:t xml:space="preserve"> </w:t>
      </w:r>
      <w:r w:rsidR="009725F1">
        <w:rPr>
          <w:sz w:val="24"/>
          <w:szCs w:val="24"/>
        </w:rPr>
        <w:t>Pentr</w:t>
      </w:r>
      <w:r w:rsidR="00133A35">
        <w:rPr>
          <w:sz w:val="24"/>
          <w:szCs w:val="24"/>
        </w:rPr>
        <w:t>u următoarele 12 luni</w:t>
      </w:r>
      <w:r w:rsidR="007F643F">
        <w:rPr>
          <w:sz w:val="24"/>
          <w:szCs w:val="24"/>
        </w:rPr>
        <w:t xml:space="preserve"> calendaristice</w:t>
      </w:r>
      <w:r w:rsidR="00590DC6">
        <w:rPr>
          <w:sz w:val="24"/>
          <w:szCs w:val="24"/>
        </w:rPr>
        <w:t>, estimăm un număr de 40</w:t>
      </w:r>
      <w:r w:rsidR="00133A35">
        <w:rPr>
          <w:sz w:val="24"/>
          <w:szCs w:val="24"/>
        </w:rPr>
        <w:t xml:space="preserve"> de şedinţe de plen ordinare ş</w:t>
      </w:r>
      <w:r w:rsidR="00B329CB">
        <w:rPr>
          <w:sz w:val="24"/>
          <w:szCs w:val="24"/>
        </w:rPr>
        <w:t>i extraor</w:t>
      </w:r>
      <w:r w:rsidR="007F643F">
        <w:rPr>
          <w:sz w:val="24"/>
          <w:szCs w:val="24"/>
        </w:rPr>
        <w:t xml:space="preserve">dinare </w:t>
      </w:r>
      <w:r w:rsidR="00133A35">
        <w:rPr>
          <w:sz w:val="24"/>
          <w:szCs w:val="24"/>
        </w:rPr>
        <w:t>şi considerăm că suma necesară d</w:t>
      </w:r>
      <w:r w:rsidR="00590DC6">
        <w:rPr>
          <w:sz w:val="24"/>
          <w:szCs w:val="24"/>
        </w:rPr>
        <w:t xml:space="preserve">erulării acestui proiect este 100 </w:t>
      </w:r>
      <w:r w:rsidR="00133A35">
        <w:rPr>
          <w:sz w:val="24"/>
          <w:szCs w:val="24"/>
        </w:rPr>
        <w:t>000 lei</w:t>
      </w:r>
      <w:r w:rsidR="002321DF">
        <w:rPr>
          <w:sz w:val="24"/>
          <w:szCs w:val="24"/>
        </w:rPr>
        <w:t>, TVA inclus</w:t>
      </w:r>
      <w:r w:rsidR="005C56CF">
        <w:rPr>
          <w:sz w:val="24"/>
          <w:szCs w:val="24"/>
        </w:rPr>
        <w:t xml:space="preserve">, </w:t>
      </w:r>
      <w:r w:rsidR="007F643F">
        <w:rPr>
          <w:sz w:val="24"/>
          <w:szCs w:val="24"/>
        </w:rPr>
        <w:t>alocată</w:t>
      </w:r>
      <w:r w:rsidR="005C56CF">
        <w:rPr>
          <w:sz w:val="24"/>
          <w:szCs w:val="24"/>
        </w:rPr>
        <w:t xml:space="preserve"> de la bugetul local</w:t>
      </w:r>
      <w:r w:rsidR="002321DF">
        <w:rPr>
          <w:sz w:val="24"/>
          <w:szCs w:val="24"/>
        </w:rPr>
        <w:t>. Această sumă a rezultat în urma studiului de piaţă efectuat în anul 2014</w:t>
      </w:r>
      <w:r w:rsidR="00B329CB">
        <w:rPr>
          <w:sz w:val="24"/>
          <w:szCs w:val="24"/>
        </w:rPr>
        <w:t>,</w:t>
      </w:r>
      <w:r w:rsidR="001700D8">
        <w:rPr>
          <w:sz w:val="24"/>
          <w:szCs w:val="24"/>
        </w:rPr>
        <w:t xml:space="preserve"> care a stat la baza procesului de cumparare directa c</w:t>
      </w:r>
      <w:r w:rsidR="00F60D34">
        <w:rPr>
          <w:sz w:val="24"/>
          <w:szCs w:val="24"/>
        </w:rPr>
        <w:t xml:space="preserve">are s-a desfasurat conform OUG </w:t>
      </w:r>
      <w:r w:rsidR="001700D8">
        <w:rPr>
          <w:sz w:val="24"/>
          <w:szCs w:val="24"/>
        </w:rPr>
        <w:t>34/</w:t>
      </w:r>
      <w:r w:rsidR="001700D8" w:rsidRPr="00390240">
        <w:rPr>
          <w:sz w:val="24"/>
          <w:szCs w:val="24"/>
        </w:rPr>
        <w:t xml:space="preserve">2006 </w:t>
      </w:r>
      <w:r w:rsidR="007B353C">
        <w:rPr>
          <w:sz w:val="24"/>
          <w:szCs w:val="24"/>
        </w:rPr>
        <w:t>privind atribuirea contractelor de achizitie publica, a contractelor de concesiune de lucrari publice si a contractelor de concesiune de servicii</w:t>
      </w:r>
      <w:r w:rsidR="001700D8">
        <w:rPr>
          <w:sz w:val="24"/>
          <w:szCs w:val="24"/>
        </w:rPr>
        <w:t>, respectiv 1950 lei</w:t>
      </w:r>
      <w:r w:rsidR="002321DF">
        <w:rPr>
          <w:sz w:val="24"/>
          <w:szCs w:val="24"/>
        </w:rPr>
        <w:t xml:space="preserve"> </w:t>
      </w:r>
      <w:r w:rsidR="003E7892">
        <w:rPr>
          <w:sz w:val="24"/>
          <w:szCs w:val="24"/>
        </w:rPr>
        <w:t xml:space="preserve">fara TVA, </w:t>
      </w:r>
      <w:r w:rsidR="00C81AFA" w:rsidRPr="00390240">
        <w:rPr>
          <w:sz w:val="24"/>
          <w:szCs w:val="24"/>
        </w:rPr>
        <w:t>preţ pentru fiecare şedintă de plen cu durata între 2</w:t>
      </w:r>
      <w:r w:rsidR="00F60D34">
        <w:rPr>
          <w:sz w:val="24"/>
          <w:szCs w:val="24"/>
        </w:rPr>
        <w:t xml:space="preserve"> </w:t>
      </w:r>
      <w:r w:rsidR="00C81AFA" w:rsidRPr="00390240">
        <w:rPr>
          <w:sz w:val="24"/>
          <w:szCs w:val="24"/>
        </w:rPr>
        <w:t>- 5 ore, pen</w:t>
      </w:r>
      <w:r w:rsidR="005F2B05">
        <w:rPr>
          <w:sz w:val="24"/>
          <w:szCs w:val="24"/>
        </w:rPr>
        <w:t>tru un număr estimat de maxim 40</w:t>
      </w:r>
      <w:r w:rsidR="00C81AFA" w:rsidRPr="00390240">
        <w:rPr>
          <w:sz w:val="24"/>
          <w:szCs w:val="24"/>
        </w:rPr>
        <w:t xml:space="preserve"> de şedinţe</w:t>
      </w:r>
      <w:r w:rsidR="00B329CB">
        <w:rPr>
          <w:sz w:val="24"/>
          <w:szCs w:val="24"/>
        </w:rPr>
        <w:t xml:space="preserve"> pentru 12 luni</w:t>
      </w:r>
      <w:r w:rsidR="003E7892">
        <w:rPr>
          <w:sz w:val="24"/>
          <w:szCs w:val="24"/>
        </w:rPr>
        <w:t>.</w:t>
      </w:r>
    </w:p>
    <w:p w:rsidR="00F37CCD" w:rsidRPr="00390240" w:rsidRDefault="00396A86" w:rsidP="00396A86">
      <w:pPr>
        <w:ind w:firstLine="720"/>
        <w:jc w:val="both"/>
        <w:rPr>
          <w:sz w:val="24"/>
          <w:szCs w:val="24"/>
        </w:rPr>
      </w:pPr>
      <w:r w:rsidRPr="00390240">
        <w:rPr>
          <w:sz w:val="24"/>
          <w:szCs w:val="24"/>
        </w:rPr>
        <w:t xml:space="preserve">Prin urmare, </w:t>
      </w:r>
    </w:p>
    <w:p w:rsidR="00F37CCD" w:rsidRPr="00390240" w:rsidRDefault="00F37CCD" w:rsidP="007B353C">
      <w:pPr>
        <w:ind w:firstLine="720"/>
        <w:jc w:val="center"/>
        <w:rPr>
          <w:b/>
          <w:sz w:val="24"/>
          <w:szCs w:val="24"/>
        </w:rPr>
      </w:pPr>
      <w:r w:rsidRPr="00390240">
        <w:rPr>
          <w:b/>
          <w:sz w:val="24"/>
          <w:szCs w:val="24"/>
        </w:rPr>
        <w:t>PROPUNEM:</w:t>
      </w:r>
    </w:p>
    <w:p w:rsidR="00F37CCD" w:rsidRPr="00390240" w:rsidRDefault="00F37CCD" w:rsidP="00F37CCD">
      <w:pPr>
        <w:ind w:firstLine="720"/>
        <w:jc w:val="center"/>
        <w:rPr>
          <w:b/>
          <w:sz w:val="24"/>
          <w:szCs w:val="24"/>
        </w:rPr>
      </w:pPr>
    </w:p>
    <w:p w:rsidR="003D4F3A" w:rsidRDefault="006301D5" w:rsidP="009A59E2">
      <w:pPr>
        <w:pStyle w:val="ListParagraph"/>
        <w:autoSpaceDE w:val="0"/>
        <w:autoSpaceDN w:val="0"/>
        <w:adjustRightInd w:val="0"/>
        <w:spacing w:after="200" w:line="276" w:lineRule="auto"/>
        <w:ind w:left="0"/>
        <w:jc w:val="both"/>
        <w:rPr>
          <w:rFonts w:eastAsiaTheme="minorHAnsi"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</w:rPr>
        <w:tab/>
      </w:r>
      <w:r w:rsidR="003D4F3A">
        <w:rPr>
          <w:bCs/>
          <w:color w:val="000000"/>
          <w:sz w:val="24"/>
          <w:szCs w:val="24"/>
        </w:rPr>
        <w:t>E</w:t>
      </w:r>
      <w:r w:rsidR="003E7892">
        <w:rPr>
          <w:bCs/>
          <w:color w:val="000000"/>
          <w:sz w:val="24"/>
          <w:szCs w:val="24"/>
        </w:rPr>
        <w:t>miterea unei hotărâri de consiliu local prin care să se aprobe</w:t>
      </w:r>
      <w:r w:rsidR="003D4F3A">
        <w:rPr>
          <w:bCs/>
          <w:color w:val="000000"/>
          <w:sz w:val="24"/>
          <w:szCs w:val="24"/>
        </w:rPr>
        <w:t xml:space="preserve"> continuarea proiectului</w:t>
      </w:r>
      <w:r w:rsidR="003E7892">
        <w:rPr>
          <w:bCs/>
          <w:color w:val="000000"/>
          <w:sz w:val="24"/>
          <w:szCs w:val="24"/>
        </w:rPr>
        <w:t xml:space="preserve"> </w:t>
      </w:r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>"</w:t>
      </w:r>
      <w:proofErr w:type="spellStart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>Participarea</w:t>
      </w:r>
      <w:proofErr w:type="spellEnd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>cetăţenilor</w:t>
      </w:r>
      <w:proofErr w:type="spellEnd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>actul</w:t>
      </w:r>
      <w:proofErr w:type="spellEnd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>decizional</w:t>
      </w:r>
      <w:proofErr w:type="spellEnd"/>
      <w:r w:rsidR="003D4F3A" w:rsidRPr="00AD0F01">
        <w:rPr>
          <w:rFonts w:eastAsiaTheme="minorHAnsi"/>
          <w:color w:val="000000"/>
          <w:sz w:val="24"/>
          <w:szCs w:val="24"/>
          <w:lang w:val="en-US"/>
        </w:rPr>
        <w:t>”</w:t>
      </w:r>
      <w:r w:rsidR="00B4799B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B4799B">
        <w:rPr>
          <w:rFonts w:eastAsiaTheme="minorHAnsi"/>
          <w:color w:val="000000"/>
          <w:sz w:val="24"/>
          <w:szCs w:val="24"/>
          <w:lang w:val="en-US"/>
        </w:rPr>
        <w:t>pe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 o </w:t>
      </w:r>
      <w:proofErr w:type="spellStart"/>
      <w:r w:rsidR="003D4F3A">
        <w:rPr>
          <w:rFonts w:eastAsiaTheme="minorHAnsi"/>
          <w:color w:val="000000"/>
          <w:sz w:val="24"/>
          <w:szCs w:val="24"/>
          <w:lang w:val="en-US"/>
        </w:rPr>
        <w:t>perioadă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 de 12 </w:t>
      </w:r>
      <w:proofErr w:type="spellStart"/>
      <w:r w:rsidR="003D4F3A">
        <w:rPr>
          <w:rFonts w:eastAsiaTheme="minorHAnsi"/>
          <w:color w:val="000000"/>
          <w:sz w:val="24"/>
          <w:szCs w:val="24"/>
          <w:lang w:val="en-US"/>
        </w:rPr>
        <w:t>luni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3D4F3A">
        <w:rPr>
          <w:rFonts w:eastAsiaTheme="minorHAnsi"/>
          <w:color w:val="000000"/>
          <w:sz w:val="24"/>
          <w:szCs w:val="24"/>
          <w:lang w:val="en-US"/>
        </w:rPr>
        <w:t>calendaristice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="003D4F3A">
        <w:rPr>
          <w:rFonts w:eastAsiaTheme="minorHAnsi"/>
          <w:color w:val="000000"/>
          <w:sz w:val="24"/>
          <w:szCs w:val="24"/>
          <w:lang w:val="en-US"/>
        </w:rPr>
        <w:t>începând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 cu data </w:t>
      </w:r>
      <w:proofErr w:type="spellStart"/>
      <w:r w:rsidR="003D4F3A">
        <w:rPr>
          <w:rFonts w:eastAsiaTheme="minorHAnsi"/>
          <w:color w:val="000000"/>
          <w:sz w:val="24"/>
          <w:szCs w:val="24"/>
          <w:lang w:val="en-US"/>
        </w:rPr>
        <w:t>semnării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B4799B">
        <w:rPr>
          <w:rFonts w:eastAsiaTheme="minorHAnsi"/>
          <w:color w:val="000000"/>
          <w:sz w:val="24"/>
          <w:szCs w:val="24"/>
          <w:lang w:val="en-US"/>
        </w:rPr>
        <w:t>ordinului</w:t>
      </w:r>
      <w:proofErr w:type="spellEnd"/>
      <w:r w:rsidR="00B4799B">
        <w:rPr>
          <w:rFonts w:eastAsiaTheme="minorHAnsi"/>
          <w:color w:val="000000"/>
          <w:sz w:val="24"/>
          <w:szCs w:val="24"/>
          <w:lang w:val="en-US"/>
        </w:rPr>
        <w:t xml:space="preserve"> de </w:t>
      </w:r>
      <w:proofErr w:type="spellStart"/>
      <w:r w:rsidR="00B4799B">
        <w:rPr>
          <w:rFonts w:eastAsiaTheme="minorHAnsi"/>
          <w:color w:val="000000"/>
          <w:sz w:val="24"/>
          <w:szCs w:val="24"/>
          <w:lang w:val="en-US"/>
        </w:rPr>
        <w:t>începere</w:t>
      </w:r>
      <w:proofErr w:type="spellEnd"/>
      <w:r w:rsidR="00B4799B">
        <w:rPr>
          <w:rFonts w:eastAsiaTheme="minorHAnsi"/>
          <w:color w:val="000000"/>
          <w:sz w:val="24"/>
          <w:szCs w:val="24"/>
          <w:lang w:val="en-US"/>
        </w:rPr>
        <w:t xml:space="preserve"> a </w:t>
      </w:r>
      <w:proofErr w:type="spellStart"/>
      <w:r w:rsidR="00B4799B">
        <w:rPr>
          <w:rFonts w:eastAsiaTheme="minorHAnsi"/>
          <w:color w:val="000000"/>
          <w:sz w:val="24"/>
          <w:szCs w:val="24"/>
          <w:lang w:val="en-US"/>
        </w:rPr>
        <w:t>serviciilor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. </w:t>
      </w:r>
    </w:p>
    <w:p w:rsidR="006301D5" w:rsidRPr="00B117CF" w:rsidRDefault="006301D5" w:rsidP="009A59E2">
      <w:pPr>
        <w:pStyle w:val="ListParagraph"/>
        <w:autoSpaceDE w:val="0"/>
        <w:autoSpaceDN w:val="0"/>
        <w:adjustRightInd w:val="0"/>
        <w:spacing w:after="200" w:line="276" w:lineRule="auto"/>
        <w:ind w:left="0"/>
        <w:jc w:val="both"/>
        <w:rPr>
          <w:rFonts w:eastAsiaTheme="minorHAnsi"/>
          <w:color w:val="000000"/>
          <w:sz w:val="10"/>
          <w:szCs w:val="10"/>
          <w:lang w:val="en-US"/>
        </w:rPr>
      </w:pPr>
    </w:p>
    <w:p w:rsidR="007B353C" w:rsidRDefault="006301D5" w:rsidP="003D4F3A">
      <w:pPr>
        <w:pStyle w:val="ListParagraph"/>
        <w:autoSpaceDE w:val="0"/>
        <w:autoSpaceDN w:val="0"/>
        <w:adjustRightInd w:val="0"/>
        <w:spacing w:after="200" w:line="276" w:lineRule="auto"/>
        <w:ind w:left="0"/>
        <w:jc w:val="both"/>
        <w:rPr>
          <w:rFonts w:eastAsiaTheme="minorHAnsi"/>
          <w:color w:val="000000"/>
          <w:sz w:val="24"/>
          <w:szCs w:val="24"/>
          <w:lang w:val="en-US"/>
        </w:rPr>
      </w:pPr>
      <w:r>
        <w:rPr>
          <w:rFonts w:eastAsiaTheme="minorHAnsi"/>
          <w:color w:val="000000"/>
          <w:sz w:val="24"/>
          <w:szCs w:val="24"/>
          <w:lang w:val="en-US"/>
        </w:rPr>
        <w:tab/>
      </w:r>
    </w:p>
    <w:p w:rsidR="007B353C" w:rsidRDefault="007B353C" w:rsidP="003D4F3A">
      <w:pPr>
        <w:pStyle w:val="ListParagraph"/>
        <w:autoSpaceDE w:val="0"/>
        <w:autoSpaceDN w:val="0"/>
        <w:adjustRightInd w:val="0"/>
        <w:spacing w:after="200" w:line="276" w:lineRule="auto"/>
        <w:ind w:left="0"/>
        <w:jc w:val="both"/>
        <w:rPr>
          <w:rFonts w:eastAsiaTheme="minorHAnsi"/>
          <w:color w:val="000000"/>
          <w:sz w:val="24"/>
          <w:szCs w:val="24"/>
          <w:lang w:val="en-US"/>
        </w:rPr>
      </w:pPr>
    </w:p>
    <w:p w:rsidR="007B353C" w:rsidRDefault="007B353C" w:rsidP="003D4F3A">
      <w:pPr>
        <w:pStyle w:val="ListParagraph"/>
        <w:autoSpaceDE w:val="0"/>
        <w:autoSpaceDN w:val="0"/>
        <w:adjustRightInd w:val="0"/>
        <w:spacing w:after="200" w:line="276" w:lineRule="auto"/>
        <w:ind w:left="0"/>
        <w:jc w:val="both"/>
        <w:rPr>
          <w:rFonts w:eastAsiaTheme="minorHAnsi"/>
          <w:color w:val="000000"/>
          <w:sz w:val="24"/>
          <w:szCs w:val="24"/>
          <w:lang w:val="en-US"/>
        </w:rPr>
      </w:pPr>
    </w:p>
    <w:p w:rsidR="003D4F3A" w:rsidRDefault="007B353C" w:rsidP="003D4F3A">
      <w:pPr>
        <w:pStyle w:val="ListParagraph"/>
        <w:autoSpaceDE w:val="0"/>
        <w:autoSpaceDN w:val="0"/>
        <w:adjustRightInd w:val="0"/>
        <w:spacing w:after="200" w:line="276" w:lineRule="auto"/>
        <w:ind w:left="0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  <w:lang w:val="en-US"/>
        </w:rPr>
        <w:tab/>
      </w:r>
      <w:proofErr w:type="spellStart"/>
      <w:r w:rsidR="003D4F3A">
        <w:rPr>
          <w:rFonts w:eastAsiaTheme="minorHAnsi"/>
          <w:color w:val="000000"/>
          <w:sz w:val="24"/>
          <w:szCs w:val="24"/>
          <w:lang w:val="en-US"/>
        </w:rPr>
        <w:t>Alocarea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3D4F3A">
        <w:rPr>
          <w:rFonts w:eastAsiaTheme="minorHAnsi"/>
          <w:color w:val="000000"/>
          <w:sz w:val="24"/>
          <w:szCs w:val="24"/>
          <w:lang w:val="en-US"/>
        </w:rPr>
        <w:t>sumei</w:t>
      </w:r>
      <w:proofErr w:type="spellEnd"/>
      <w:r w:rsidR="003D4F3A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r w:rsidR="00590DC6">
        <w:rPr>
          <w:bCs/>
          <w:color w:val="000000"/>
          <w:sz w:val="24"/>
          <w:szCs w:val="24"/>
        </w:rPr>
        <w:t>de 100</w:t>
      </w:r>
      <w:r w:rsidR="006B2E3B" w:rsidRPr="00987909">
        <w:rPr>
          <w:bCs/>
          <w:color w:val="000000"/>
          <w:sz w:val="24"/>
          <w:szCs w:val="24"/>
        </w:rPr>
        <w:t xml:space="preserve"> 000 lei, </w:t>
      </w:r>
      <w:r w:rsidR="006B2E3B" w:rsidRPr="00987909">
        <w:rPr>
          <w:sz w:val="24"/>
          <w:szCs w:val="24"/>
        </w:rPr>
        <w:t>TVA inclus,</w:t>
      </w:r>
      <w:r w:rsidR="006B2E3B" w:rsidRPr="00987909">
        <w:rPr>
          <w:bCs/>
          <w:color w:val="000000"/>
          <w:sz w:val="24"/>
          <w:szCs w:val="24"/>
        </w:rPr>
        <w:t xml:space="preserve"> de la bugetul local al Municipiului Timişoara, </w:t>
      </w:r>
      <w:r w:rsidR="006B2E3B" w:rsidRPr="00987909">
        <w:rPr>
          <w:sz w:val="24"/>
          <w:szCs w:val="24"/>
        </w:rPr>
        <w:t xml:space="preserve">din </w:t>
      </w:r>
      <w:r w:rsidR="00D22D44" w:rsidRPr="007B5707">
        <w:t xml:space="preserve">Subcap. </w:t>
      </w:r>
      <w:r w:rsidR="003D4F3A">
        <w:t xml:space="preserve">51.02.01.03.20.01.30 </w:t>
      </w:r>
      <w:r w:rsidR="00D22D44" w:rsidRPr="00E5535D">
        <w:t>"</w:t>
      </w:r>
      <w:r w:rsidR="003D4F3A" w:rsidRPr="00E5535D">
        <w:t>Autorităţi executive</w:t>
      </w:r>
      <w:r w:rsidR="00D22D44" w:rsidRPr="00E5535D">
        <w:t>"</w:t>
      </w:r>
      <w:r w:rsidR="006B2E3B" w:rsidRPr="00E5535D">
        <w:rPr>
          <w:sz w:val="24"/>
          <w:szCs w:val="24"/>
        </w:rPr>
        <w:t>,</w:t>
      </w:r>
      <w:r w:rsidR="00A41C75">
        <w:rPr>
          <w:bCs/>
          <w:color w:val="000000"/>
          <w:sz w:val="24"/>
          <w:szCs w:val="24"/>
        </w:rPr>
        <w:t xml:space="preserve"> </w:t>
      </w:r>
      <w:r w:rsidR="00A5288F">
        <w:rPr>
          <w:bCs/>
          <w:color w:val="000000"/>
          <w:sz w:val="24"/>
          <w:szCs w:val="24"/>
        </w:rPr>
        <w:t xml:space="preserve">cu condiţia aprobării acesteia în bugetul local pe 2015, </w:t>
      </w:r>
      <w:r w:rsidR="00A41C75">
        <w:rPr>
          <w:bCs/>
          <w:color w:val="000000"/>
          <w:sz w:val="24"/>
          <w:szCs w:val="24"/>
        </w:rPr>
        <w:t xml:space="preserve">pentru </w:t>
      </w:r>
      <w:r w:rsidR="00987909" w:rsidRPr="00987909">
        <w:rPr>
          <w:bCs/>
          <w:sz w:val="24"/>
          <w:szCs w:val="24"/>
        </w:rPr>
        <w:t xml:space="preserve">difuzarea în direct pe posturi de televiziune </w:t>
      </w:r>
      <w:r w:rsidR="00987909" w:rsidRPr="00987909">
        <w:rPr>
          <w:sz w:val="24"/>
          <w:szCs w:val="24"/>
        </w:rPr>
        <w:t>la nivel loca</w:t>
      </w:r>
      <w:r w:rsidR="009A59E2">
        <w:rPr>
          <w:sz w:val="24"/>
          <w:szCs w:val="24"/>
        </w:rPr>
        <w:t>l</w:t>
      </w:r>
      <w:r w:rsidR="00B329CB">
        <w:rPr>
          <w:sz w:val="24"/>
          <w:szCs w:val="24"/>
        </w:rPr>
        <w:t xml:space="preserve"> a şedintelor de plen ordinare ş</w:t>
      </w:r>
      <w:r w:rsidR="009A59E2">
        <w:rPr>
          <w:sz w:val="24"/>
          <w:szCs w:val="24"/>
        </w:rPr>
        <w:t>i</w:t>
      </w:r>
      <w:r w:rsidR="00987909" w:rsidRPr="00987909">
        <w:rPr>
          <w:sz w:val="24"/>
          <w:szCs w:val="24"/>
        </w:rPr>
        <w:t xml:space="preserve"> extraordinare ale Consiliului Local Timişoara</w:t>
      </w:r>
      <w:r w:rsidR="003D4F3A">
        <w:rPr>
          <w:sz w:val="24"/>
          <w:szCs w:val="24"/>
        </w:rPr>
        <w:t>.</w:t>
      </w:r>
    </w:p>
    <w:p w:rsidR="00390240" w:rsidRPr="00390240" w:rsidRDefault="006301D5" w:rsidP="003D4F3A">
      <w:pPr>
        <w:pStyle w:val="ListParagraph"/>
        <w:autoSpaceDE w:val="0"/>
        <w:autoSpaceDN w:val="0"/>
        <w:adjustRightInd w:val="0"/>
        <w:spacing w:after="20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D4F3A">
        <w:rPr>
          <w:sz w:val="24"/>
          <w:szCs w:val="24"/>
        </w:rPr>
        <w:t>A</w:t>
      </w:r>
      <w:r w:rsidR="00E841C1" w:rsidRPr="00390240">
        <w:rPr>
          <w:sz w:val="24"/>
          <w:szCs w:val="24"/>
        </w:rPr>
        <w:t>tribui</w:t>
      </w:r>
      <w:r w:rsidR="006457ED" w:rsidRPr="00390240">
        <w:rPr>
          <w:sz w:val="24"/>
          <w:szCs w:val="24"/>
        </w:rPr>
        <w:t xml:space="preserve">rea serviciului </w:t>
      </w:r>
      <w:r w:rsidR="00E841C1" w:rsidRPr="00390240">
        <w:rPr>
          <w:sz w:val="24"/>
          <w:szCs w:val="24"/>
        </w:rPr>
        <w:t xml:space="preserve">de transmisiune </w:t>
      </w:r>
      <w:r w:rsidR="00B329CB">
        <w:rPr>
          <w:sz w:val="24"/>
          <w:szCs w:val="24"/>
        </w:rPr>
        <w:t xml:space="preserve">în direct </w:t>
      </w:r>
      <w:r w:rsidR="00390240" w:rsidRPr="00390240">
        <w:rPr>
          <w:sz w:val="24"/>
          <w:szCs w:val="24"/>
        </w:rPr>
        <w:t>prin cablu sau în eter</w:t>
      </w:r>
      <w:r w:rsidR="00B329CB">
        <w:rPr>
          <w:sz w:val="24"/>
          <w:szCs w:val="24"/>
        </w:rPr>
        <w:t xml:space="preserve">, </w:t>
      </w:r>
      <w:r w:rsidR="00E841C1" w:rsidRPr="00390240">
        <w:rPr>
          <w:sz w:val="24"/>
          <w:szCs w:val="24"/>
        </w:rPr>
        <w:t>pe posturi de televiziune locală</w:t>
      </w:r>
      <w:r w:rsidR="00390240" w:rsidRPr="00390240">
        <w:rPr>
          <w:sz w:val="24"/>
          <w:szCs w:val="24"/>
        </w:rPr>
        <w:t xml:space="preserve"> </w:t>
      </w:r>
      <w:r w:rsidR="00E841C1" w:rsidRPr="00390240">
        <w:rPr>
          <w:sz w:val="24"/>
          <w:szCs w:val="24"/>
        </w:rPr>
        <w:t>a şedinţelor de plen</w:t>
      </w:r>
      <w:r w:rsidR="00365542">
        <w:rPr>
          <w:sz w:val="24"/>
          <w:szCs w:val="24"/>
        </w:rPr>
        <w:t xml:space="preserve"> ordinare si extraordinare </w:t>
      </w:r>
      <w:r w:rsidR="00E841C1" w:rsidRPr="00390240">
        <w:rPr>
          <w:sz w:val="24"/>
          <w:szCs w:val="24"/>
        </w:rPr>
        <w:t>ale Consiliului Local Timişoara se va face prin cumpărare directă, conform OUG 34</w:t>
      </w:r>
      <w:r w:rsidR="000A476F">
        <w:rPr>
          <w:sz w:val="24"/>
          <w:szCs w:val="24"/>
        </w:rPr>
        <w:t>/</w:t>
      </w:r>
      <w:r w:rsidR="00CD4B1A" w:rsidRPr="00390240">
        <w:rPr>
          <w:sz w:val="24"/>
          <w:szCs w:val="24"/>
        </w:rPr>
        <w:t>2006</w:t>
      </w:r>
      <w:r w:rsidR="007B353C">
        <w:rPr>
          <w:sz w:val="24"/>
          <w:szCs w:val="24"/>
        </w:rPr>
        <w:t xml:space="preserve"> privind atribuirea contractelor de achizitie publica, a contractelor de concesiune de lucrari publice si a contractelor de concesiune de servicii</w:t>
      </w:r>
      <w:r w:rsidR="00390240" w:rsidRPr="00390240">
        <w:rPr>
          <w:sz w:val="24"/>
          <w:szCs w:val="24"/>
        </w:rPr>
        <w:t xml:space="preserve">. </w:t>
      </w:r>
    </w:p>
    <w:p w:rsidR="00396A86" w:rsidRPr="00390240" w:rsidRDefault="00396A86" w:rsidP="00396A86">
      <w:pPr>
        <w:ind w:firstLine="720"/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Default="00396A86" w:rsidP="00396A86">
      <w:pPr>
        <w:jc w:val="both"/>
        <w:rPr>
          <w:sz w:val="24"/>
          <w:szCs w:val="24"/>
        </w:rPr>
      </w:pPr>
    </w:p>
    <w:p w:rsidR="00E06BE1" w:rsidRPr="00390240" w:rsidRDefault="00E06BE1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ind w:firstLine="720"/>
        <w:rPr>
          <w:sz w:val="24"/>
          <w:szCs w:val="24"/>
        </w:rPr>
      </w:pPr>
      <w:r w:rsidRPr="00390240">
        <w:rPr>
          <w:sz w:val="24"/>
          <w:szCs w:val="24"/>
        </w:rPr>
        <w:t xml:space="preserve">   Dan Diaconu                                                                             </w:t>
      </w:r>
      <w:r w:rsidR="000A476F">
        <w:rPr>
          <w:sz w:val="24"/>
          <w:szCs w:val="24"/>
        </w:rPr>
        <w:t xml:space="preserve"> </w:t>
      </w:r>
      <w:r w:rsidRPr="00390240">
        <w:rPr>
          <w:sz w:val="24"/>
          <w:szCs w:val="24"/>
        </w:rPr>
        <w:t xml:space="preserve">   </w:t>
      </w:r>
      <w:r w:rsidR="000A476F">
        <w:rPr>
          <w:sz w:val="24"/>
          <w:szCs w:val="24"/>
        </w:rPr>
        <w:t xml:space="preserve">           </w:t>
      </w:r>
      <w:r w:rsidRPr="00390240">
        <w:rPr>
          <w:sz w:val="24"/>
          <w:szCs w:val="24"/>
        </w:rPr>
        <w:t>Secretar</w:t>
      </w:r>
    </w:p>
    <w:p w:rsidR="00396A86" w:rsidRPr="00390240" w:rsidRDefault="00396A86" w:rsidP="00396A86">
      <w:pPr>
        <w:ind w:firstLine="720"/>
        <w:rPr>
          <w:sz w:val="24"/>
          <w:szCs w:val="24"/>
        </w:rPr>
      </w:pPr>
      <w:r w:rsidRPr="00390240">
        <w:rPr>
          <w:sz w:val="24"/>
          <w:szCs w:val="24"/>
        </w:rPr>
        <w:t xml:space="preserve">    Viceprimar                                                                          </w:t>
      </w:r>
      <w:r w:rsidR="000A476F">
        <w:rPr>
          <w:sz w:val="24"/>
          <w:szCs w:val="24"/>
        </w:rPr>
        <w:t xml:space="preserve">   </w:t>
      </w:r>
      <w:r w:rsidRPr="00390240">
        <w:rPr>
          <w:sz w:val="24"/>
          <w:szCs w:val="24"/>
        </w:rPr>
        <w:t xml:space="preserve">  </w:t>
      </w:r>
      <w:r w:rsidR="000A476F">
        <w:rPr>
          <w:sz w:val="24"/>
          <w:szCs w:val="24"/>
        </w:rPr>
        <w:t xml:space="preserve">          </w:t>
      </w:r>
      <w:r w:rsidRPr="00390240">
        <w:rPr>
          <w:sz w:val="24"/>
          <w:szCs w:val="24"/>
        </w:rPr>
        <w:t xml:space="preserve"> Ioan Cojocari</w:t>
      </w:r>
    </w:p>
    <w:p w:rsidR="00396A86" w:rsidRDefault="00396A86" w:rsidP="00396A86">
      <w:pPr>
        <w:rPr>
          <w:sz w:val="24"/>
          <w:szCs w:val="24"/>
        </w:rPr>
      </w:pPr>
    </w:p>
    <w:p w:rsidR="000A476F" w:rsidRPr="00390240" w:rsidRDefault="000A476F" w:rsidP="00396A86">
      <w:pPr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tbl>
      <w:tblPr>
        <w:tblW w:w="9579" w:type="dxa"/>
        <w:jc w:val="center"/>
        <w:tblInd w:w="232" w:type="dxa"/>
        <w:tblLook w:val="01E0"/>
      </w:tblPr>
      <w:tblGrid>
        <w:gridCol w:w="3069"/>
        <w:gridCol w:w="3379"/>
        <w:gridCol w:w="3131"/>
      </w:tblGrid>
      <w:tr w:rsidR="00396A86" w:rsidRPr="00390240" w:rsidTr="002D3AA5">
        <w:trPr>
          <w:jc w:val="center"/>
        </w:trPr>
        <w:tc>
          <w:tcPr>
            <w:tcW w:w="3069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  <w:r w:rsidRPr="00390240">
              <w:rPr>
                <w:sz w:val="24"/>
                <w:szCs w:val="24"/>
              </w:rPr>
              <w:t>Alina Pintilie</w:t>
            </w: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  <w:r w:rsidRPr="00390240">
              <w:rPr>
                <w:sz w:val="24"/>
                <w:szCs w:val="24"/>
              </w:rPr>
              <w:t>Director</w:t>
            </w:r>
          </w:p>
        </w:tc>
        <w:tc>
          <w:tcPr>
            <w:tcW w:w="3379" w:type="dxa"/>
          </w:tcPr>
          <w:p w:rsidR="00396A86" w:rsidRPr="00390240" w:rsidRDefault="00396A86" w:rsidP="002D3AA5">
            <w:pPr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396A86" w:rsidRPr="00390240" w:rsidRDefault="000A476F" w:rsidP="002D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96A86" w:rsidRPr="00390240">
              <w:rPr>
                <w:sz w:val="24"/>
                <w:szCs w:val="24"/>
              </w:rPr>
              <w:t>maranda Haracicu</w:t>
            </w: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  <w:r w:rsidRPr="00390240">
              <w:rPr>
                <w:sz w:val="24"/>
                <w:szCs w:val="24"/>
              </w:rPr>
              <w:t>Director economic</w:t>
            </w:r>
          </w:p>
        </w:tc>
      </w:tr>
      <w:tr w:rsidR="00396A86" w:rsidRPr="00390240" w:rsidTr="002D3AA5">
        <w:trPr>
          <w:jc w:val="center"/>
        </w:trPr>
        <w:tc>
          <w:tcPr>
            <w:tcW w:w="3069" w:type="dxa"/>
          </w:tcPr>
          <w:p w:rsidR="00396A86" w:rsidRPr="00390240" w:rsidRDefault="00396A86" w:rsidP="002D3AA5">
            <w:pPr>
              <w:rPr>
                <w:sz w:val="24"/>
                <w:szCs w:val="24"/>
              </w:rPr>
            </w:pPr>
          </w:p>
          <w:p w:rsidR="00396A86" w:rsidRDefault="00396A86" w:rsidP="002D3AA5">
            <w:pPr>
              <w:rPr>
                <w:sz w:val="24"/>
                <w:szCs w:val="24"/>
              </w:rPr>
            </w:pPr>
          </w:p>
          <w:p w:rsidR="000A476F" w:rsidRPr="00390240" w:rsidRDefault="000A476F" w:rsidP="002D3AA5">
            <w:p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396A86" w:rsidRDefault="00396A86" w:rsidP="002D3AA5">
            <w:pPr>
              <w:rPr>
                <w:sz w:val="24"/>
                <w:szCs w:val="24"/>
              </w:rPr>
            </w:pPr>
          </w:p>
          <w:p w:rsidR="00E06BE1" w:rsidRDefault="00E06BE1" w:rsidP="002D3AA5">
            <w:pPr>
              <w:rPr>
                <w:sz w:val="24"/>
                <w:szCs w:val="24"/>
              </w:rPr>
            </w:pPr>
          </w:p>
          <w:p w:rsidR="00E06BE1" w:rsidRDefault="00E06BE1" w:rsidP="002D3AA5">
            <w:pPr>
              <w:rPr>
                <w:sz w:val="24"/>
                <w:szCs w:val="24"/>
              </w:rPr>
            </w:pPr>
          </w:p>
          <w:p w:rsidR="000A476F" w:rsidRPr="00390240" w:rsidRDefault="000A476F" w:rsidP="002D3AA5">
            <w:pPr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396A86" w:rsidRPr="00390240" w:rsidRDefault="00396A86" w:rsidP="002D3AA5">
            <w:pPr>
              <w:rPr>
                <w:sz w:val="24"/>
                <w:szCs w:val="24"/>
              </w:rPr>
            </w:pPr>
          </w:p>
        </w:tc>
      </w:tr>
      <w:tr w:rsidR="00396A86" w:rsidRPr="00390240" w:rsidTr="002D3AA5">
        <w:trPr>
          <w:jc w:val="center"/>
        </w:trPr>
        <w:tc>
          <w:tcPr>
            <w:tcW w:w="3069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  <w:r w:rsidRPr="00390240">
              <w:rPr>
                <w:sz w:val="24"/>
                <w:szCs w:val="24"/>
              </w:rPr>
              <w:t>Monica Sava</w:t>
            </w: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  <w:r w:rsidRPr="00390240">
              <w:rPr>
                <w:sz w:val="24"/>
                <w:szCs w:val="24"/>
              </w:rPr>
              <w:t xml:space="preserve">Consilier </w:t>
            </w: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0A476F" w:rsidRPr="00390240" w:rsidRDefault="000A476F" w:rsidP="000A476F">
            <w:pPr>
              <w:jc w:val="center"/>
              <w:rPr>
                <w:sz w:val="24"/>
                <w:szCs w:val="24"/>
              </w:rPr>
            </w:pPr>
            <w:r w:rsidRPr="00390240">
              <w:rPr>
                <w:sz w:val="24"/>
                <w:szCs w:val="24"/>
              </w:rPr>
              <w:t>Avizat Juridic</w:t>
            </w: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396A86" w:rsidRPr="00390240" w:rsidRDefault="00396A86" w:rsidP="000A476F">
            <w:pPr>
              <w:jc w:val="center"/>
              <w:rPr>
                <w:sz w:val="24"/>
                <w:szCs w:val="24"/>
              </w:rPr>
            </w:pPr>
          </w:p>
        </w:tc>
      </w:tr>
      <w:tr w:rsidR="00396A86" w:rsidRPr="00390240" w:rsidTr="002D3AA5">
        <w:trPr>
          <w:jc w:val="center"/>
        </w:trPr>
        <w:tc>
          <w:tcPr>
            <w:tcW w:w="3069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</w:tr>
      <w:tr w:rsidR="00396A86" w:rsidRPr="00390240" w:rsidTr="002D3AA5">
        <w:trPr>
          <w:jc w:val="center"/>
        </w:trPr>
        <w:tc>
          <w:tcPr>
            <w:tcW w:w="3069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  <w:r w:rsidRPr="00390240">
              <w:rPr>
                <w:sz w:val="24"/>
                <w:szCs w:val="24"/>
              </w:rPr>
              <w:t xml:space="preserve"> </w:t>
            </w:r>
          </w:p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396A86" w:rsidRPr="00390240" w:rsidRDefault="00396A86" w:rsidP="002D3A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  <w:r w:rsidRPr="00390240">
        <w:rPr>
          <w:sz w:val="24"/>
          <w:szCs w:val="24"/>
        </w:rPr>
        <w:tab/>
      </w:r>
      <w:r w:rsidRPr="00390240">
        <w:rPr>
          <w:sz w:val="24"/>
          <w:szCs w:val="24"/>
        </w:rPr>
        <w:tab/>
      </w:r>
      <w:r w:rsidRPr="00390240">
        <w:rPr>
          <w:sz w:val="24"/>
          <w:szCs w:val="24"/>
        </w:rPr>
        <w:tab/>
      </w:r>
      <w:r w:rsidRPr="00390240">
        <w:rPr>
          <w:sz w:val="24"/>
          <w:szCs w:val="24"/>
        </w:rPr>
        <w:tab/>
      </w:r>
      <w:r w:rsidRPr="00390240">
        <w:rPr>
          <w:sz w:val="24"/>
          <w:szCs w:val="24"/>
        </w:rPr>
        <w:tab/>
      </w:r>
      <w:r w:rsidRPr="00390240">
        <w:rPr>
          <w:sz w:val="24"/>
          <w:szCs w:val="24"/>
        </w:rPr>
        <w:tab/>
      </w:r>
      <w:r w:rsidRPr="00390240">
        <w:rPr>
          <w:sz w:val="24"/>
          <w:szCs w:val="24"/>
        </w:rPr>
        <w:tab/>
      </w:r>
      <w:r w:rsidRPr="00390240">
        <w:rPr>
          <w:sz w:val="24"/>
          <w:szCs w:val="24"/>
        </w:rPr>
        <w:tab/>
      </w: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both"/>
        <w:rPr>
          <w:sz w:val="24"/>
          <w:szCs w:val="24"/>
        </w:rPr>
      </w:pPr>
    </w:p>
    <w:p w:rsidR="00396A86" w:rsidRPr="00390240" w:rsidRDefault="00396A86" w:rsidP="00396A86">
      <w:pPr>
        <w:jc w:val="right"/>
        <w:rPr>
          <w:sz w:val="24"/>
          <w:szCs w:val="24"/>
        </w:rPr>
      </w:pPr>
      <w:r w:rsidRPr="00390240">
        <w:rPr>
          <w:sz w:val="24"/>
          <w:szCs w:val="24"/>
        </w:rPr>
        <w:tab/>
      </w:r>
    </w:p>
    <w:p w:rsidR="00004BC1" w:rsidRPr="00390240" w:rsidRDefault="00004BC1">
      <w:pPr>
        <w:rPr>
          <w:sz w:val="24"/>
          <w:szCs w:val="24"/>
        </w:rPr>
      </w:pPr>
    </w:p>
    <w:sectPr w:rsidR="00004BC1" w:rsidRPr="00390240" w:rsidSect="00F22E51">
      <w:footerReference w:type="default" r:id="rId9"/>
      <w:pgSz w:w="11907" w:h="16840" w:code="9"/>
      <w:pgMar w:top="851" w:right="851" w:bottom="567" w:left="1134" w:header="0" w:footer="0" w:gutter="0"/>
      <w:cols w:space="708"/>
      <w:docGrid w:linePitch="2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D8A" w:rsidRDefault="000E3D8A">
      <w:r>
        <w:separator/>
      </w:r>
    </w:p>
  </w:endnote>
  <w:endnote w:type="continuationSeparator" w:id="0">
    <w:p w:rsidR="000E3D8A" w:rsidRDefault="000E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EED" w:rsidRPr="000A476F" w:rsidRDefault="0091109F">
    <w:pPr>
      <w:pStyle w:val="Footer"/>
      <w:rPr>
        <w:sz w:val="22"/>
        <w:szCs w:val="22"/>
      </w:rPr>
    </w:pPr>
    <w:r>
      <w:tab/>
    </w:r>
    <w:r>
      <w:tab/>
    </w:r>
    <w:r w:rsidRPr="000A476F">
      <w:rPr>
        <w:sz w:val="22"/>
        <w:szCs w:val="22"/>
      </w:rPr>
      <w:t>FO53-01 ver.2</w:t>
    </w:r>
  </w:p>
  <w:p w:rsidR="00A6670F" w:rsidRPr="000A476F" w:rsidRDefault="000E3D8A">
    <w:pPr>
      <w:pStyle w:val="Foo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D8A" w:rsidRDefault="000E3D8A">
      <w:r>
        <w:separator/>
      </w:r>
    </w:p>
  </w:footnote>
  <w:footnote w:type="continuationSeparator" w:id="0">
    <w:p w:rsidR="000E3D8A" w:rsidRDefault="000E3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97F"/>
    <w:multiLevelType w:val="hybridMultilevel"/>
    <w:tmpl w:val="13028280"/>
    <w:lvl w:ilvl="0" w:tplc="754675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316"/>
    <w:rsid w:val="00004BC1"/>
    <w:rsid w:val="00053DBC"/>
    <w:rsid w:val="000A476F"/>
    <w:rsid w:val="000B410B"/>
    <w:rsid w:val="000C00E8"/>
    <w:rsid w:val="000E3D8A"/>
    <w:rsid w:val="000E5FB4"/>
    <w:rsid w:val="000F13F7"/>
    <w:rsid w:val="00121360"/>
    <w:rsid w:val="00133A35"/>
    <w:rsid w:val="001700D8"/>
    <w:rsid w:val="001F04A3"/>
    <w:rsid w:val="00203E9A"/>
    <w:rsid w:val="002240A4"/>
    <w:rsid w:val="002321DF"/>
    <w:rsid w:val="002554C0"/>
    <w:rsid w:val="002D1354"/>
    <w:rsid w:val="002E5E72"/>
    <w:rsid w:val="002F2015"/>
    <w:rsid w:val="002F562B"/>
    <w:rsid w:val="003027D2"/>
    <w:rsid w:val="00315695"/>
    <w:rsid w:val="0034052D"/>
    <w:rsid w:val="00365542"/>
    <w:rsid w:val="0036604F"/>
    <w:rsid w:val="00390240"/>
    <w:rsid w:val="00396A86"/>
    <w:rsid w:val="003D4F3A"/>
    <w:rsid w:val="003E7892"/>
    <w:rsid w:val="003F2129"/>
    <w:rsid w:val="00413ABB"/>
    <w:rsid w:val="00415BC8"/>
    <w:rsid w:val="00417B06"/>
    <w:rsid w:val="00423363"/>
    <w:rsid w:val="004309FB"/>
    <w:rsid w:val="00460FBA"/>
    <w:rsid w:val="004B240F"/>
    <w:rsid w:val="004E23E0"/>
    <w:rsid w:val="004E6316"/>
    <w:rsid w:val="004F4313"/>
    <w:rsid w:val="005309FA"/>
    <w:rsid w:val="0054645F"/>
    <w:rsid w:val="00590DC6"/>
    <w:rsid w:val="005C527B"/>
    <w:rsid w:val="005C56CF"/>
    <w:rsid w:val="005F2B05"/>
    <w:rsid w:val="00600EED"/>
    <w:rsid w:val="00614A01"/>
    <w:rsid w:val="0062019E"/>
    <w:rsid w:val="006301D5"/>
    <w:rsid w:val="006457ED"/>
    <w:rsid w:val="0065128A"/>
    <w:rsid w:val="00661158"/>
    <w:rsid w:val="00662D36"/>
    <w:rsid w:val="006B2E3B"/>
    <w:rsid w:val="006D3B82"/>
    <w:rsid w:val="006E7F33"/>
    <w:rsid w:val="0078181D"/>
    <w:rsid w:val="007B353C"/>
    <w:rsid w:val="007B5707"/>
    <w:rsid w:val="007F19FA"/>
    <w:rsid w:val="007F643F"/>
    <w:rsid w:val="0083689D"/>
    <w:rsid w:val="008401DA"/>
    <w:rsid w:val="00841484"/>
    <w:rsid w:val="00850341"/>
    <w:rsid w:val="00860F7B"/>
    <w:rsid w:val="008741CB"/>
    <w:rsid w:val="00882B85"/>
    <w:rsid w:val="0090358A"/>
    <w:rsid w:val="0091109F"/>
    <w:rsid w:val="009725F1"/>
    <w:rsid w:val="00987909"/>
    <w:rsid w:val="009A59E2"/>
    <w:rsid w:val="009B1B0F"/>
    <w:rsid w:val="00A41C75"/>
    <w:rsid w:val="00A5288F"/>
    <w:rsid w:val="00AB74AB"/>
    <w:rsid w:val="00AD0F01"/>
    <w:rsid w:val="00AF52FC"/>
    <w:rsid w:val="00B117CF"/>
    <w:rsid w:val="00B3290B"/>
    <w:rsid w:val="00B329CB"/>
    <w:rsid w:val="00B4799B"/>
    <w:rsid w:val="00B65A5D"/>
    <w:rsid w:val="00B7478C"/>
    <w:rsid w:val="00B77BB6"/>
    <w:rsid w:val="00C027B4"/>
    <w:rsid w:val="00C1607D"/>
    <w:rsid w:val="00C81AFA"/>
    <w:rsid w:val="00CD4B1A"/>
    <w:rsid w:val="00D22D44"/>
    <w:rsid w:val="00D47B9E"/>
    <w:rsid w:val="00D50D26"/>
    <w:rsid w:val="00D53831"/>
    <w:rsid w:val="00D749D0"/>
    <w:rsid w:val="00DA17EC"/>
    <w:rsid w:val="00DE10C7"/>
    <w:rsid w:val="00DF49B9"/>
    <w:rsid w:val="00E06BE1"/>
    <w:rsid w:val="00E366FA"/>
    <w:rsid w:val="00E5535D"/>
    <w:rsid w:val="00E841C1"/>
    <w:rsid w:val="00EC0263"/>
    <w:rsid w:val="00F37CCD"/>
    <w:rsid w:val="00F60D34"/>
    <w:rsid w:val="00F62977"/>
    <w:rsid w:val="00F80AEF"/>
    <w:rsid w:val="00FA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8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rsid w:val="00396A86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A86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Footer">
    <w:name w:val="footer"/>
    <w:basedOn w:val="Normal"/>
    <w:link w:val="FooterChar"/>
    <w:rsid w:val="00396A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96A86"/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86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65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476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476F"/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8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rsid w:val="00396A86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6A86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Footer">
    <w:name w:val="footer"/>
    <w:basedOn w:val="Normal"/>
    <w:link w:val="FooterChar"/>
    <w:rsid w:val="00396A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96A86"/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86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B65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8954-142F-405E-92B6-F3C63FEE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msava</cp:lastModifiedBy>
  <cp:revision>119</cp:revision>
  <cp:lastPrinted>2015-01-19T06:37:00Z</cp:lastPrinted>
  <dcterms:created xsi:type="dcterms:W3CDTF">2014-11-06T13:22:00Z</dcterms:created>
  <dcterms:modified xsi:type="dcterms:W3CDTF">2015-01-19T08:46:00Z</dcterms:modified>
</cp:coreProperties>
</file>