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4EEC" w14:textId="52AB06AA" w:rsidR="005204C0" w:rsidRPr="005204C0" w:rsidRDefault="005204C0" w:rsidP="005204C0">
      <w:pPr>
        <w:spacing w:after="240"/>
        <w:rPr>
          <w:rFonts w:asciiTheme="minorHAnsi" w:eastAsia="EB Garamond" w:hAnsiTheme="minorHAnsi" w:cs="EB Garamond"/>
          <w:i/>
          <w:iCs/>
          <w:sz w:val="24"/>
          <w:szCs w:val="24"/>
          <w:lang w:val="ro-RO"/>
        </w:rPr>
      </w:pPr>
      <w:r w:rsidRPr="005204C0">
        <w:rPr>
          <w:rFonts w:asciiTheme="minorHAnsi" w:eastAsia="EB Garamond" w:hAnsiTheme="minorHAnsi" w:cs="EB Garamond"/>
          <w:i/>
          <w:iCs/>
          <w:sz w:val="24"/>
          <w:szCs w:val="24"/>
        </w:rPr>
        <w:t xml:space="preserve">Nr. </w:t>
      </w:r>
      <w:r w:rsidRPr="005204C0">
        <w:rPr>
          <w:rFonts w:asciiTheme="minorHAnsi" w:eastAsia="EB Garamond" w:hAnsiTheme="minorHAnsi" w:cs="EB Garamond"/>
          <w:i/>
          <w:iCs/>
          <w:sz w:val="24"/>
          <w:szCs w:val="24"/>
          <w:lang w:val="ro-RO"/>
        </w:rPr>
        <w:t xml:space="preserve">de </w:t>
      </w:r>
      <w:proofErr w:type="spellStart"/>
      <w:r w:rsidRPr="005204C0">
        <w:rPr>
          <w:rFonts w:asciiTheme="minorHAnsi" w:eastAsia="EB Garamond" w:hAnsiTheme="minorHAnsi" w:cs="EB Garamond"/>
          <w:i/>
          <w:iCs/>
          <w:sz w:val="24"/>
          <w:szCs w:val="24"/>
          <w:lang w:val="ro-RO"/>
        </w:rPr>
        <w:t>înregistare</w:t>
      </w:r>
      <w:proofErr w:type="spellEnd"/>
      <w:r w:rsidRPr="005204C0">
        <w:rPr>
          <w:rFonts w:asciiTheme="minorHAnsi" w:eastAsia="EB Garamond" w:hAnsiTheme="minorHAnsi" w:cs="EB Garamond"/>
          <w:i/>
          <w:iCs/>
          <w:sz w:val="24"/>
          <w:szCs w:val="24"/>
          <w:lang w:val="ro-RO"/>
        </w:rPr>
        <w:t xml:space="preserve">: ASEMT2023 </w:t>
      </w:r>
      <w:r>
        <w:rPr>
          <w:rFonts w:asciiTheme="minorHAnsi" w:eastAsia="EB Garamond" w:hAnsiTheme="minorHAnsi" w:cs="EB Garamond"/>
          <w:i/>
          <w:iCs/>
          <w:sz w:val="24"/>
          <w:szCs w:val="24"/>
          <w:lang w:val="ro-RO"/>
        </w:rPr>
        <w:t>- ___</w:t>
      </w:r>
      <w:r w:rsidRPr="005204C0">
        <w:rPr>
          <w:rFonts w:asciiTheme="minorHAnsi" w:eastAsia="EB Garamond" w:hAnsiTheme="minorHAnsi" w:cs="EB Garamond"/>
          <w:i/>
          <w:iCs/>
          <w:sz w:val="24"/>
          <w:szCs w:val="24"/>
          <w:lang w:val="ro-RO"/>
        </w:rPr>
        <w:t>____</w:t>
      </w:r>
      <w:r>
        <w:rPr>
          <w:rFonts w:asciiTheme="minorHAnsi" w:eastAsia="EB Garamond" w:hAnsiTheme="minorHAnsi" w:cs="EB Garamond"/>
          <w:i/>
          <w:iCs/>
          <w:sz w:val="24"/>
          <w:szCs w:val="24"/>
          <w:lang w:val="ro-RO"/>
        </w:rPr>
        <w:t xml:space="preserve"> </w:t>
      </w:r>
      <w:r w:rsidRPr="005204C0">
        <w:rPr>
          <w:rFonts w:asciiTheme="minorHAnsi" w:eastAsia="EB Garamond" w:hAnsiTheme="minorHAnsi" w:cs="EB Garamond"/>
          <w:i/>
          <w:iCs/>
          <w:sz w:val="24"/>
          <w:szCs w:val="24"/>
          <w:lang w:val="ro-RO"/>
        </w:rPr>
        <w:t>/____</w:t>
      </w:r>
      <w:r>
        <w:rPr>
          <w:rFonts w:asciiTheme="minorHAnsi" w:eastAsia="EB Garamond" w:hAnsiTheme="minorHAnsi" w:cs="EB Garamond"/>
          <w:i/>
          <w:iCs/>
          <w:sz w:val="24"/>
          <w:szCs w:val="24"/>
          <w:lang w:val="ro-RO"/>
        </w:rPr>
        <w:t>_________</w:t>
      </w:r>
    </w:p>
    <w:p w14:paraId="60963B83" w14:textId="77777777" w:rsidR="00B65C78" w:rsidRDefault="00B65C78" w:rsidP="005204C0">
      <w:pPr>
        <w:spacing w:after="240"/>
        <w:jc w:val="center"/>
        <w:rPr>
          <w:rFonts w:asciiTheme="minorHAnsi" w:eastAsia="EB Garamond" w:hAnsiTheme="minorHAnsi" w:cs="EB Garamond"/>
          <w:b/>
          <w:bCs/>
          <w:sz w:val="24"/>
          <w:szCs w:val="24"/>
        </w:rPr>
      </w:pPr>
    </w:p>
    <w:p w14:paraId="22187005" w14:textId="445088A0" w:rsidR="005204C0" w:rsidRPr="005204C0" w:rsidRDefault="005204C0" w:rsidP="005204C0">
      <w:pPr>
        <w:spacing w:after="240"/>
        <w:jc w:val="center"/>
        <w:rPr>
          <w:rFonts w:asciiTheme="minorHAnsi" w:eastAsia="EB Garamond" w:hAnsiTheme="minorHAnsi" w:cs="EB Garamond"/>
          <w:b/>
          <w:bCs/>
          <w:sz w:val="24"/>
          <w:szCs w:val="24"/>
        </w:rPr>
      </w:pPr>
      <w:r w:rsidRPr="005204C0">
        <w:rPr>
          <w:rFonts w:asciiTheme="minorHAnsi" w:eastAsia="EB Garamond" w:hAnsiTheme="minorHAnsi" w:cs="EB Garamond"/>
          <w:b/>
          <w:bCs/>
          <w:sz w:val="24"/>
          <w:szCs w:val="24"/>
        </w:rPr>
        <w:t>RAPORT DE SPECIALITATE</w:t>
      </w:r>
    </w:p>
    <w:p w14:paraId="1E8E2C70" w14:textId="664AF3EE" w:rsidR="005204C0" w:rsidRPr="005204C0" w:rsidRDefault="005204C0" w:rsidP="005204C0">
      <w:pPr>
        <w:spacing w:before="240" w:after="200"/>
        <w:jc w:val="center"/>
        <w:rPr>
          <w:rFonts w:asciiTheme="minorHAnsi" w:eastAsia="EB Garamond" w:hAnsiTheme="minorHAnsi" w:cs="EB Garamond"/>
          <w:sz w:val="24"/>
          <w:szCs w:val="24"/>
        </w:rPr>
      </w:pP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privind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aprobarea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Regulamentului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utilizare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sălilor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sport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r w:rsidR="00CB6B36">
        <w:rPr>
          <w:rFonts w:asciiTheme="minorHAnsi" w:eastAsia="EB Garamond" w:hAnsiTheme="minorHAnsi" w:cs="EB Garamond"/>
          <w:sz w:val="24"/>
          <w:szCs w:val="24"/>
        </w:rPr>
        <w:t xml:space="preserve">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bazinelor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înot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din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cadrul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unităților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pe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raza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Mun</w:t>
      </w:r>
      <w:r w:rsidR="00CB6B36">
        <w:rPr>
          <w:rFonts w:asciiTheme="minorHAnsi" w:eastAsia="EB Garamond" w:hAnsiTheme="minorHAnsi" w:cs="EB Garamond"/>
          <w:sz w:val="24"/>
          <w:szCs w:val="24"/>
        </w:rPr>
        <w:t>icipiul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Timișoara</w:t>
      </w:r>
    </w:p>
    <w:p w14:paraId="4F4B7624" w14:textId="77777777" w:rsidR="005204C0" w:rsidRPr="005204C0" w:rsidRDefault="005204C0" w:rsidP="005204C0">
      <w:pPr>
        <w:spacing w:before="240" w:after="240"/>
        <w:jc w:val="center"/>
        <w:rPr>
          <w:rFonts w:asciiTheme="minorHAnsi" w:eastAsia="EB Garamond" w:hAnsiTheme="minorHAnsi" w:cs="EB Garamond"/>
          <w:sz w:val="24"/>
          <w:szCs w:val="24"/>
        </w:rPr>
      </w:pP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</w:p>
    <w:p w14:paraId="11939807" w14:textId="7EFA127D" w:rsidR="005204C0" w:rsidRPr="005204C0" w:rsidRDefault="00AC51DC" w:rsidP="00AC51DC">
      <w:pPr>
        <w:spacing w:after="240"/>
        <w:ind w:firstLine="720"/>
        <w:jc w:val="both"/>
        <w:rPr>
          <w:rFonts w:asciiTheme="minorHAnsi" w:eastAsia="EB Garamond" w:hAnsiTheme="minorHAnsi" w:cs="EB Garamond"/>
          <w:sz w:val="24"/>
          <w:szCs w:val="24"/>
        </w:rPr>
      </w:pPr>
      <w:proofErr w:type="spellStart"/>
      <w:r>
        <w:rPr>
          <w:rFonts w:asciiTheme="minorHAnsi" w:eastAsia="EB Garamond" w:hAnsiTheme="minorHAnsi" w:cs="EB Garamond"/>
          <w:sz w:val="24"/>
          <w:szCs w:val="24"/>
        </w:rPr>
        <w:t>C</w:t>
      </w:r>
      <w:r w:rsidR="005204C0" w:rsidRPr="005204C0">
        <w:rPr>
          <w:rFonts w:asciiTheme="minorHAnsi" w:eastAsia="EB Garamond" w:hAnsiTheme="minorHAnsi" w:cs="EB Garamond"/>
          <w:sz w:val="24"/>
          <w:szCs w:val="24"/>
        </w:rPr>
        <w:t>ontextul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regulamentului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utilizare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a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sălilor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de sport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bazinelor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înot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din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cadrul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unităților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este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dat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referințele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din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Legea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Educației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Fizice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Sportului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nr. 69/2000 cu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trimitere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la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obligația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administrației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publice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locale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a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unităților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de a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pune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la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dispoziție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bazele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instalațiile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sportive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referințele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din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Legea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Educației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Naționale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nr. 1/2011 cu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modificările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ulterioare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care fac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trimitere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la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regimul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administrare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a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componentelor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bazei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materiale</w:t>
      </w:r>
      <w:proofErr w:type="spellEnd"/>
      <w:r w:rsidR="005204C0" w:rsidRPr="005204C0">
        <w:rPr>
          <w:rFonts w:asciiTheme="minorHAnsi" w:eastAsia="EB Garamond" w:hAnsiTheme="minorHAnsi" w:cs="EB Garamond"/>
          <w:sz w:val="24"/>
          <w:szCs w:val="24"/>
        </w:rPr>
        <w:t>.</w:t>
      </w:r>
    </w:p>
    <w:p w14:paraId="2675B72F" w14:textId="17F91E62" w:rsidR="005204C0" w:rsidRPr="005204C0" w:rsidRDefault="005204C0" w:rsidP="005204C0">
      <w:pPr>
        <w:jc w:val="both"/>
        <w:rPr>
          <w:rFonts w:asciiTheme="minorHAnsi" w:eastAsia="EB Garamond" w:hAnsiTheme="minorHAnsi" w:cs="EB Garamond"/>
          <w:sz w:val="24"/>
          <w:szCs w:val="24"/>
        </w:rPr>
      </w:pP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Conform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Legii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Educației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Fizice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Sportului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nr. 69/2000 cu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completările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modificările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A72B0B">
        <w:rPr>
          <w:rFonts w:asciiTheme="minorHAnsi" w:eastAsia="EB Garamond" w:hAnsiTheme="minorHAnsi" w:cs="EB Garamond"/>
          <w:sz w:val="24"/>
          <w:szCs w:val="24"/>
        </w:rPr>
        <w:t>ulterioare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prin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art. 3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alin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. 1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art. 6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alin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(8)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(9) se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clarifică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obligația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unităților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dispune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accesul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la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bazele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instalațiile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sportive din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incinta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persoanelor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fizice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sau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juridice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interesate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cu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plata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sau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gratuit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astfel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>:</w:t>
      </w:r>
    </w:p>
    <w:p w14:paraId="0D013A3A" w14:textId="250C4253" w:rsidR="005204C0" w:rsidRPr="005204C0" w:rsidRDefault="005204C0" w:rsidP="00CB6B36">
      <w:pPr>
        <w:spacing w:after="240"/>
        <w:ind w:left="720"/>
        <w:jc w:val="both"/>
        <w:rPr>
          <w:rFonts w:asciiTheme="minorHAnsi" w:eastAsia="EB Garamond" w:hAnsiTheme="minorHAnsi" w:cs="EB Garamond"/>
          <w:sz w:val="30"/>
          <w:szCs w:val="30"/>
        </w:rPr>
      </w:pPr>
      <w:r w:rsidRPr="005204C0">
        <w:rPr>
          <w:rFonts w:asciiTheme="minorHAnsi" w:eastAsia="EB Garamond" w:hAnsiTheme="minorHAnsi" w:cs="EB Garamond"/>
          <w:i/>
          <w:sz w:val="24"/>
          <w:szCs w:val="24"/>
        </w:rPr>
        <w:t>Art.3 alin.1</w:t>
      </w: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„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Autorităţile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administraţiei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publice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unităţile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instituţiile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învăţământ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instituţiile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sportive, precum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organismele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neguvernamentale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profil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au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obligaţia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sprijine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sportul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pentru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toţi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sportul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performanța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asigure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condiţiile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organizatorice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materiale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practicare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gram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</w:t>
      </w:r>
      <w:proofErr w:type="gram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educaţiei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fizice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sportului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comunităţile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locale</w:t>
      </w:r>
      <w:r w:rsidRPr="005204C0">
        <w:rPr>
          <w:rFonts w:asciiTheme="minorHAnsi" w:eastAsia="EB Garamond" w:hAnsiTheme="minorHAnsi" w:cs="EB Garamond"/>
          <w:sz w:val="24"/>
          <w:szCs w:val="24"/>
        </w:rPr>
        <w:t>”</w:t>
      </w:r>
      <w:r w:rsidR="00AC51DC">
        <w:rPr>
          <w:rFonts w:asciiTheme="minorHAnsi" w:eastAsia="EB Garamond" w:hAnsiTheme="minorHAnsi" w:cs="EB Garamond"/>
          <w:sz w:val="24"/>
          <w:szCs w:val="24"/>
        </w:rPr>
        <w:t>.</w:t>
      </w:r>
    </w:p>
    <w:p w14:paraId="04F48E9A" w14:textId="77777777" w:rsidR="005204C0" w:rsidRPr="005204C0" w:rsidRDefault="005204C0" w:rsidP="005204C0">
      <w:pPr>
        <w:ind w:left="720"/>
        <w:jc w:val="both"/>
        <w:rPr>
          <w:rFonts w:asciiTheme="minorHAnsi" w:eastAsia="EB Garamond" w:hAnsiTheme="minorHAnsi" w:cs="EB Garamond"/>
          <w:i/>
          <w:sz w:val="24"/>
          <w:szCs w:val="24"/>
        </w:rPr>
      </w:pPr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Art. 6 - (...)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alin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(8)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Toate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unitățile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de stat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sau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particulare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existente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sau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nou-înființate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au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obligația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dispună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sau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aibă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acces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la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bazele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instalațiile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sportive,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pentru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a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permite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desfășurarea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lecțiilor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educație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fizică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practicarea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sportului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cu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elevii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studenții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>.</w:t>
      </w:r>
    </w:p>
    <w:p w14:paraId="350F552F" w14:textId="77777777" w:rsidR="005204C0" w:rsidRPr="005204C0" w:rsidRDefault="005204C0" w:rsidP="00AC51DC">
      <w:pPr>
        <w:spacing w:after="240"/>
        <w:ind w:left="720"/>
        <w:jc w:val="both"/>
        <w:rPr>
          <w:rFonts w:asciiTheme="minorHAnsi" w:eastAsia="EB Garamond" w:hAnsiTheme="minorHAnsi" w:cs="EB Garamond"/>
          <w:i/>
          <w:sz w:val="24"/>
          <w:szCs w:val="24"/>
        </w:rPr>
      </w:pP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alin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(9)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Bazele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instalațiile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sportive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proprii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pot fi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puse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la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dispoziție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gratuit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sau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cu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plată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comunităților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locale,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persoanelor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fizice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sau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juridice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interesate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cu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obligația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respectării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desfășurării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normale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a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programelor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activităților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ale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cluburilor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sportive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școlare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universitare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precum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a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regulamentelor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acces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utilizare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gram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</w:t>
      </w:r>
      <w:proofErr w:type="gram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acestora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>.</w:t>
      </w:r>
    </w:p>
    <w:p w14:paraId="36588396" w14:textId="1F0B729D" w:rsidR="005204C0" w:rsidRPr="005204C0" w:rsidRDefault="005204C0" w:rsidP="005204C0">
      <w:pPr>
        <w:jc w:val="both"/>
        <w:rPr>
          <w:rFonts w:asciiTheme="minorHAnsi" w:eastAsia="EB Garamond" w:hAnsiTheme="minorHAnsi" w:cs="EB Garamond"/>
          <w:sz w:val="24"/>
          <w:szCs w:val="24"/>
        </w:rPr>
      </w:pP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Astfel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vom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considera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referințele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din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Legea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nr. 69/2000 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Educației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Fizice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Sportului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ca fundament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promovarea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demersului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pune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la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dispoziția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terților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sălile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sport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lastRenderedPageBreak/>
        <w:t>bazinele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înot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regim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r w:rsidR="00C1566F">
        <w:rPr>
          <w:rFonts w:asciiTheme="minorHAnsi" w:eastAsia="EB Garamond" w:hAnsiTheme="minorHAnsi" w:cs="EB Garamond"/>
          <w:sz w:val="24"/>
          <w:szCs w:val="24"/>
        </w:rPr>
        <w:t>cu</w:t>
      </w: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plată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baza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regulament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utilizare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bine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delimitat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C1566F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="00C1566F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încadrat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cadrul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legal actual. </w:t>
      </w:r>
    </w:p>
    <w:p w14:paraId="7CBCEEB3" w14:textId="77777777" w:rsidR="005204C0" w:rsidRPr="005204C0" w:rsidRDefault="005204C0" w:rsidP="005204C0">
      <w:pPr>
        <w:jc w:val="both"/>
        <w:rPr>
          <w:rFonts w:asciiTheme="minorHAnsi" w:eastAsia="EB Garamond" w:hAnsiTheme="minorHAnsi" w:cs="EB Garamond"/>
          <w:sz w:val="24"/>
          <w:szCs w:val="24"/>
        </w:rPr>
      </w:pPr>
    </w:p>
    <w:p w14:paraId="771E47BA" w14:textId="612523A9" w:rsidR="005204C0" w:rsidRPr="005204C0" w:rsidRDefault="005204C0" w:rsidP="005204C0">
      <w:pPr>
        <w:jc w:val="both"/>
        <w:rPr>
          <w:rFonts w:asciiTheme="minorHAnsi" w:eastAsia="EB Garamond" w:hAnsiTheme="minorHAnsi" w:cs="EB Garamond"/>
          <w:sz w:val="24"/>
          <w:szCs w:val="24"/>
        </w:rPr>
      </w:pP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Totodată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conform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Legii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Educației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Naționale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nr. 1/2011 cu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modificările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completările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="00C1566F">
        <w:rPr>
          <w:rFonts w:asciiTheme="minorHAnsi" w:eastAsia="EB Garamond" w:hAnsiTheme="minorHAnsi" w:cs="EB Garamond"/>
          <w:sz w:val="24"/>
          <w:szCs w:val="24"/>
        </w:rPr>
        <w:t>ulterioare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unitățile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pot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obțină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venituri</w:t>
      </w:r>
      <w:proofErr w:type="spellEnd"/>
      <w:r w:rsidR="00C1566F">
        <w:rPr>
          <w:rFonts w:asciiTheme="minorHAnsi" w:eastAsia="EB Garamond" w:hAnsiTheme="minorHAnsi" w:cs="EB Garamond"/>
          <w:sz w:val="24"/>
          <w:szCs w:val="24"/>
        </w:rPr>
        <w:t>:</w:t>
      </w:r>
    </w:p>
    <w:p w14:paraId="5FB2B0C4" w14:textId="77777777" w:rsidR="005204C0" w:rsidRPr="005204C0" w:rsidRDefault="005204C0" w:rsidP="00CB6B36">
      <w:pPr>
        <w:spacing w:after="240"/>
        <w:ind w:left="720"/>
        <w:jc w:val="both"/>
        <w:rPr>
          <w:rFonts w:asciiTheme="minorHAnsi" w:eastAsia="EB Garamond" w:hAnsiTheme="minorHAnsi" w:cs="EB Garamond"/>
          <w:sz w:val="24"/>
          <w:szCs w:val="24"/>
        </w:rPr>
      </w:pP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Art. 8.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Pentru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finanţarea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educaţiei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naţionale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se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alocă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anual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din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bugetul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stat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din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bugetele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autorităţilor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publice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locale minimum 6% din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produsul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intern brut al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anului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respectiv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.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Suplimentar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unităţile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instituţiile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învăţământ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pot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obţine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utiliza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autonom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venituri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proprii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.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Pentru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activitatea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cercetare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ştiinţifică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se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alocă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anual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de la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bugetul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stat, minimum 1% din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produsul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intern brut al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anului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respectiv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>.</w:t>
      </w:r>
    </w:p>
    <w:p w14:paraId="1EEEC776" w14:textId="77777777" w:rsidR="005204C0" w:rsidRPr="005204C0" w:rsidRDefault="005204C0" w:rsidP="005204C0">
      <w:pPr>
        <w:ind w:left="720"/>
        <w:jc w:val="both"/>
        <w:rPr>
          <w:rFonts w:asciiTheme="minorHAnsi" w:eastAsia="EB Garamond" w:hAnsiTheme="minorHAnsi" w:cs="EB Garamond"/>
          <w:sz w:val="24"/>
          <w:szCs w:val="24"/>
        </w:rPr>
      </w:pP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Art. 108 (1)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Unităţile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învăţământ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preuniversitar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stat pot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obţine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venituri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proprii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din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activităţi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specifice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conform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legii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din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donaţii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sponsorizări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sau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din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alte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surse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legal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constituite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>.</w:t>
      </w:r>
    </w:p>
    <w:p w14:paraId="4966BB94" w14:textId="77777777" w:rsidR="005204C0" w:rsidRPr="005204C0" w:rsidRDefault="005204C0" w:rsidP="005204C0">
      <w:pPr>
        <w:jc w:val="both"/>
        <w:rPr>
          <w:rFonts w:asciiTheme="minorHAnsi" w:eastAsia="EB Garamond" w:hAnsiTheme="minorHAnsi" w:cs="EB Garamond"/>
          <w:sz w:val="24"/>
          <w:szCs w:val="24"/>
        </w:rPr>
      </w:pPr>
    </w:p>
    <w:p w14:paraId="05370213" w14:textId="77777777" w:rsidR="005204C0" w:rsidRPr="005204C0" w:rsidRDefault="005204C0" w:rsidP="00CB6B36">
      <w:pPr>
        <w:ind w:firstLine="720"/>
        <w:jc w:val="both"/>
        <w:rPr>
          <w:rFonts w:asciiTheme="minorHAnsi" w:eastAsia="EB Garamond" w:hAnsiTheme="minorHAnsi" w:cs="EB Garamond"/>
          <w:i/>
          <w:sz w:val="24"/>
          <w:szCs w:val="24"/>
        </w:rPr>
      </w:pP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asemenea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potrivit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art. 112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alin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(2) din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Legea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Educației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Naționale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Terenurile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clădirile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unităților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educație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timpurie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preșcolar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școlilor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primare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gimnaziale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liceale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inclusiv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ale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celorlalte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niveluri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din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cadrul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acestora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înființate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stat, fac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parte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din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domeniul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public local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sunt administrate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către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consiliile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locale.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Celelalte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componente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ale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bazei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materiale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sunt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drept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proprietatea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acestora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sunt administrate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către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consiliile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administrație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conform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legislației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vigoare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. </w:t>
      </w:r>
    </w:p>
    <w:p w14:paraId="2A573632" w14:textId="7B4B9F08" w:rsidR="005204C0" w:rsidRPr="005204C0" w:rsidRDefault="005204C0" w:rsidP="005204C0">
      <w:pPr>
        <w:jc w:val="both"/>
        <w:rPr>
          <w:rFonts w:asciiTheme="minorHAnsi" w:eastAsia="EB Garamond" w:hAnsiTheme="minorHAnsi" w:cs="EB Garamond"/>
          <w:sz w:val="24"/>
          <w:szCs w:val="24"/>
        </w:rPr>
      </w:pP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Celelalte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componente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ale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bazei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materiale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sunt definite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alin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. (9) al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aceluiași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articol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r w:rsidRPr="005204C0">
        <w:rPr>
          <w:rFonts w:asciiTheme="minorHAnsi" w:eastAsia="EB Garamond" w:hAnsiTheme="minorHAnsi" w:cs="EB Garamond"/>
          <w:i/>
          <w:sz w:val="24"/>
          <w:szCs w:val="24"/>
        </w:rPr>
        <w:t>“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cuprinde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bunuri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imobile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mobile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afectate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mod direct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special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funcţionării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învăţământului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ca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serviciu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public,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pentru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satisfacerea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interesului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general,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astfel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: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spaţii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pentru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procesul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învăţământ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mijloace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învăţământ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bunuri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mobile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dobândite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urma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implementării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proiecte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cu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finanţare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rambursabilă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sau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nerambursabilă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biblioteci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ateliere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şcolare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ferme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didactice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terenuri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agricole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cămine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internate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cantine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cluburi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ale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elevilor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case ale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corpului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didactic;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tabere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şcolare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;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baze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complexuri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cultural-sportive;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edituri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tipografii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;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unităţi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microproducţie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; palate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case ale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copiilor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elevilor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;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spaţii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cu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destinaţia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locuinţă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;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orice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alt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obiect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intră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patrimoniul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destinat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învăţământului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salariaţilor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din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învăţământul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preuniversitar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.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Aceste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componente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ale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bazei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materiale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sunt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inalienabile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insesizabile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imprescriptibile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pe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toată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durata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utilizării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sistemul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învăţământ</w:t>
      </w:r>
      <w:proofErr w:type="spellEnd"/>
      <w:r w:rsidR="000C45EC">
        <w:rPr>
          <w:rFonts w:asciiTheme="minorHAnsi" w:eastAsia="EB Garamond" w:hAnsiTheme="minorHAnsi" w:cs="EB Garamond"/>
          <w:sz w:val="24"/>
          <w:szCs w:val="24"/>
        </w:rPr>
        <w:t>”.</w:t>
      </w:r>
    </w:p>
    <w:p w14:paraId="6EC6E4D8" w14:textId="77777777" w:rsidR="005204C0" w:rsidRPr="005204C0" w:rsidRDefault="005204C0" w:rsidP="005204C0">
      <w:pPr>
        <w:jc w:val="both"/>
        <w:rPr>
          <w:rFonts w:asciiTheme="minorHAnsi" w:eastAsia="EB Garamond" w:hAnsiTheme="minorHAnsi" w:cs="EB Garamond"/>
          <w:sz w:val="24"/>
          <w:szCs w:val="24"/>
        </w:rPr>
      </w:pPr>
    </w:p>
    <w:p w14:paraId="5F4613A6" w14:textId="60A7147E" w:rsidR="005204C0" w:rsidRPr="005204C0" w:rsidRDefault="005204C0" w:rsidP="00CB6B36">
      <w:pPr>
        <w:ind w:firstLine="720"/>
        <w:jc w:val="both"/>
        <w:rPr>
          <w:rFonts w:asciiTheme="minorHAnsi" w:eastAsia="EB Garamond" w:hAnsiTheme="minorHAnsi" w:cs="EB Garamond"/>
          <w:sz w:val="18"/>
          <w:szCs w:val="18"/>
          <w:highlight w:val="white"/>
        </w:rPr>
      </w:pP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Totodată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încheierea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acordului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parteneriat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pentru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utilizarea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Times New Roman" w:hAnsiTheme="minorHAnsi" w:cs="Times New Roman"/>
          <w:sz w:val="24"/>
          <w:szCs w:val="24"/>
        </w:rPr>
        <w:t>sălilor</w:t>
      </w:r>
      <w:proofErr w:type="spellEnd"/>
      <w:r w:rsidRPr="005204C0">
        <w:rPr>
          <w:rFonts w:asciiTheme="minorHAnsi" w:eastAsia="Times New Roman" w:hAnsiTheme="minorHAnsi" w:cs="Times New Roman"/>
          <w:sz w:val="24"/>
          <w:szCs w:val="24"/>
        </w:rPr>
        <w:t xml:space="preserve"> de sport </w:t>
      </w:r>
      <w:proofErr w:type="spellStart"/>
      <w:r w:rsidRPr="005204C0">
        <w:rPr>
          <w:rFonts w:asciiTheme="minorHAnsi" w:eastAsia="Times New Roman" w:hAnsiTheme="minorHAnsi" w:cs="Times New Roman"/>
          <w:sz w:val="24"/>
          <w:szCs w:val="24"/>
        </w:rPr>
        <w:t>si</w:t>
      </w:r>
      <w:proofErr w:type="spellEnd"/>
      <w:r w:rsidRPr="005204C0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0C45EC">
        <w:rPr>
          <w:rFonts w:asciiTheme="minorHAnsi" w:eastAsia="Times New Roman" w:hAnsiTheme="minorHAnsi" w:cs="Times New Roman"/>
          <w:sz w:val="24"/>
          <w:szCs w:val="24"/>
        </w:rPr>
        <w:t xml:space="preserve">a </w:t>
      </w:r>
      <w:proofErr w:type="spellStart"/>
      <w:r w:rsidRPr="005204C0">
        <w:rPr>
          <w:rFonts w:asciiTheme="minorHAnsi" w:eastAsia="Times New Roman" w:hAnsiTheme="minorHAnsi" w:cs="Times New Roman"/>
          <w:sz w:val="24"/>
          <w:szCs w:val="24"/>
        </w:rPr>
        <w:t>bazinelor</w:t>
      </w:r>
      <w:proofErr w:type="spellEnd"/>
      <w:r w:rsidRPr="005204C0">
        <w:rPr>
          <w:rFonts w:asciiTheme="minorHAnsi" w:eastAsia="Times New Roman" w:hAnsiTheme="minorHAnsi" w:cs="Times New Roman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Times New Roman" w:hAnsiTheme="minorHAnsi" w:cs="Times New Roman"/>
          <w:sz w:val="24"/>
          <w:szCs w:val="24"/>
        </w:rPr>
        <w:t>înot</w:t>
      </w:r>
      <w:proofErr w:type="spellEnd"/>
      <w:r w:rsidRPr="005204C0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din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cadrul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unităților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se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fundamentează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p</w:t>
      </w:r>
      <w:r w:rsidR="000C45EC">
        <w:rPr>
          <w:rFonts w:asciiTheme="minorHAnsi" w:eastAsia="EB Garamond" w:hAnsiTheme="minorHAnsi" w:cs="EB Garamond"/>
          <w:sz w:val="24"/>
          <w:szCs w:val="24"/>
        </w:rPr>
        <w:t>e</w:t>
      </w: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art.183 -184 din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</w:t>
      </w:r>
      <w:r w:rsidRPr="005204C0">
        <w:rPr>
          <w:rFonts w:asciiTheme="minorHAnsi" w:eastAsia="EB Garamond" w:hAnsiTheme="minorHAnsi" w:cs="EB Garamond"/>
          <w:i/>
          <w:sz w:val="24"/>
          <w:szCs w:val="24"/>
        </w:rPr>
        <w:t>egulamentul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cadru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emis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Ministerul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Educației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baza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i/>
          <w:sz w:val="24"/>
          <w:szCs w:val="24"/>
        </w:rPr>
        <w:t>Ordinului</w:t>
      </w:r>
      <w:proofErr w:type="spellEnd"/>
      <w:r w:rsidRPr="005204C0">
        <w:rPr>
          <w:rFonts w:asciiTheme="minorHAnsi" w:eastAsia="EB Garamond" w:hAnsiTheme="minorHAnsi" w:cs="EB Garamond"/>
          <w:i/>
          <w:sz w:val="24"/>
          <w:szCs w:val="24"/>
        </w:rPr>
        <w:t xml:space="preserve"> 4183/2022</w:t>
      </w: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baza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căruia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unitățile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pot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încheia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parteneriate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  <w:highlight w:val="white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  <w:highlight w:val="white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  <w:highlight w:val="white"/>
        </w:rPr>
        <w:t>interesul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  <w:highlight w:val="white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  <w:highlight w:val="white"/>
        </w:rPr>
        <w:t>beneficiarilor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  <w:highlight w:val="white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  <w:highlight w:val="white"/>
        </w:rPr>
        <w:t>direcţi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  <w:highlight w:val="white"/>
        </w:rPr>
        <w:t xml:space="preserve"> ai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  <w:highlight w:val="white"/>
        </w:rPr>
        <w:t>educaţiei</w:t>
      </w:r>
      <w:proofErr w:type="spellEnd"/>
      <w:r w:rsidRPr="005204C0">
        <w:rPr>
          <w:rFonts w:asciiTheme="minorHAnsi" w:eastAsia="EB Garamond" w:hAnsiTheme="minorHAnsi" w:cs="EB Garamond"/>
          <w:sz w:val="18"/>
          <w:szCs w:val="18"/>
          <w:highlight w:val="white"/>
        </w:rPr>
        <w:t xml:space="preserve">. </w:t>
      </w:r>
    </w:p>
    <w:p w14:paraId="1E6CB7C6" w14:textId="77777777" w:rsidR="005204C0" w:rsidRPr="005204C0" w:rsidRDefault="005204C0" w:rsidP="005204C0">
      <w:pPr>
        <w:jc w:val="both"/>
        <w:rPr>
          <w:rFonts w:asciiTheme="minorHAnsi" w:eastAsia="EB Garamond" w:hAnsiTheme="minorHAnsi" w:cs="EB Garamond"/>
          <w:sz w:val="18"/>
          <w:szCs w:val="18"/>
          <w:highlight w:val="white"/>
        </w:rPr>
      </w:pPr>
    </w:p>
    <w:p w14:paraId="4BD2F30E" w14:textId="77777777" w:rsidR="005204C0" w:rsidRPr="005204C0" w:rsidRDefault="005204C0" w:rsidP="00CB6B36">
      <w:pPr>
        <w:ind w:firstLine="720"/>
        <w:jc w:val="both"/>
        <w:rPr>
          <w:rFonts w:asciiTheme="minorHAnsi" w:eastAsia="EB Garamond" w:hAnsiTheme="minorHAnsi" w:cs="EB Garamond"/>
          <w:sz w:val="24"/>
          <w:szCs w:val="24"/>
        </w:rPr>
      </w:pP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lastRenderedPageBreak/>
        <w:t>Având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vedere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cele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mai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sus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menționate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regulamentul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propus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se face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referire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la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spațiile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care sunt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administrarea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Consiliului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Administrație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unității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conform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Legii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Educației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Naționale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nr. 1/2011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care, conform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Legii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Educației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Fizice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Sportului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nr. 69/2000 pot fi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puse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la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dispoziție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gratuit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sau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cu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plată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astfel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aceste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săli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sport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bazine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înot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sunt considerate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spații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interioare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ale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unității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>.</w:t>
      </w:r>
    </w:p>
    <w:p w14:paraId="76C34EE7" w14:textId="5CF90598" w:rsidR="005204C0" w:rsidRDefault="005204C0" w:rsidP="005204C0">
      <w:pPr>
        <w:jc w:val="both"/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</w:pP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Conform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Legii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Educației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Fizice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Sportului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art. 6,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alin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9^2,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este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permis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accesul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gratuit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spaţiile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terenurile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sport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exterioare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ale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unităţilor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învăţământ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care fac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parte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din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domeniul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public al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comunelor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oraşelor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municipiilor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şi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sunt administrate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către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consiliile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locale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tuturor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copiilor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“</w:t>
      </w:r>
      <w:proofErr w:type="spellStart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>este</w:t>
      </w:r>
      <w:proofErr w:type="spellEnd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 xml:space="preserve"> </w:t>
      </w:r>
      <w:proofErr w:type="spellStart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>permis</w:t>
      </w:r>
      <w:proofErr w:type="spellEnd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 xml:space="preserve"> </w:t>
      </w:r>
      <w:proofErr w:type="spellStart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>accesul</w:t>
      </w:r>
      <w:proofErr w:type="spellEnd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 xml:space="preserve"> </w:t>
      </w:r>
      <w:proofErr w:type="spellStart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>gratuit</w:t>
      </w:r>
      <w:proofErr w:type="spellEnd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 xml:space="preserve"> </w:t>
      </w:r>
      <w:proofErr w:type="spellStart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>în</w:t>
      </w:r>
      <w:proofErr w:type="spellEnd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 xml:space="preserve"> </w:t>
      </w:r>
      <w:proofErr w:type="spellStart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>spațiile</w:t>
      </w:r>
      <w:proofErr w:type="spellEnd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 xml:space="preserve"> </w:t>
      </w:r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  <w:lang w:val="ro-RO"/>
        </w:rPr>
        <w:t>ș</w:t>
      </w:r>
      <w:proofErr w:type="spellStart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>i</w:t>
      </w:r>
      <w:proofErr w:type="spellEnd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 xml:space="preserve"> </w:t>
      </w:r>
      <w:proofErr w:type="spellStart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>terenurile</w:t>
      </w:r>
      <w:proofErr w:type="spellEnd"/>
      <w:r w:rsidRPr="005204C0">
        <w:rPr>
          <w:rStyle w:val="cf01"/>
          <w:rFonts w:asciiTheme="minorHAnsi" w:hAnsiTheme="minorHAnsi" w:cs="Times New Roman"/>
          <w:i/>
          <w:iCs/>
          <w:sz w:val="24"/>
          <w:szCs w:val="24"/>
        </w:rPr>
        <w:t xml:space="preserve"> de sport</w:t>
      </w:r>
      <w:r w:rsidRPr="005204C0">
        <w:rPr>
          <w:rStyle w:val="cf01"/>
          <w:rFonts w:asciiTheme="minorHAnsi" w:hAnsiTheme="minorHAnsi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>exterioare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 xml:space="preserve"> ale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>unităților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 xml:space="preserve"> de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>învățământ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 xml:space="preserve"> care fac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>parte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 xml:space="preserve"> din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>domeniul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 xml:space="preserve"> public al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>comunelor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 xml:space="preserve"> ,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>orașelor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>și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>municipiilor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>și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 xml:space="preserve"> sunt administrate de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>către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>consiliile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i/>
          <w:iCs/>
          <w:sz w:val="24"/>
          <w:szCs w:val="24"/>
        </w:rPr>
        <w:t xml:space="preserve"> locale</w:t>
      </w:r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 xml:space="preserve">”.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>Pentru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>aceste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>elemente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>patrimoniale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 xml:space="preserve"> se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>aplică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>Regulamentul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>aprobat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>prin</w:t>
      </w:r>
      <w:proofErr w:type="spellEnd"/>
      <w:r w:rsidRPr="005204C0">
        <w:rPr>
          <w:rStyle w:val="cf21"/>
          <w:rFonts w:asciiTheme="minorHAnsi" w:hAnsiTheme="minorHAnsi" w:cs="Times New Roman"/>
          <w:b w:val="0"/>
          <w:bCs w:val="0"/>
          <w:sz w:val="24"/>
          <w:szCs w:val="24"/>
        </w:rPr>
        <w:t xml:space="preserve"> HCL 452 din data: 07.12.2021.</w:t>
      </w:r>
    </w:p>
    <w:p w14:paraId="58587AC0" w14:textId="77777777" w:rsidR="00481E54" w:rsidRPr="005204C0" w:rsidRDefault="00481E54" w:rsidP="005204C0">
      <w:pPr>
        <w:jc w:val="both"/>
        <w:rPr>
          <w:rFonts w:asciiTheme="minorHAnsi" w:eastAsia="EB Garamond" w:hAnsiTheme="minorHAnsi" w:cs="EB Garamond"/>
          <w:b/>
          <w:bCs/>
          <w:strike/>
          <w:sz w:val="24"/>
          <w:szCs w:val="24"/>
        </w:rPr>
      </w:pPr>
    </w:p>
    <w:p w14:paraId="2312FDBF" w14:textId="77777777" w:rsidR="005204C0" w:rsidRPr="005204C0" w:rsidRDefault="005204C0" w:rsidP="00CB6B36">
      <w:pPr>
        <w:ind w:firstLine="720"/>
        <w:jc w:val="both"/>
        <w:rPr>
          <w:rFonts w:asciiTheme="minorHAnsi" w:eastAsia="EB Garamond" w:hAnsiTheme="minorHAnsi" w:cs="EB Garamond"/>
          <w:sz w:val="24"/>
          <w:szCs w:val="24"/>
        </w:rPr>
      </w:pP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Nu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ultimul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rând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având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vedere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numeroasele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solicitări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venite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din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partea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unităților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înregistrate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cadrul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aparatului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specialitate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din Primăria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Municipiului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Timișoara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pentru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definirea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cadru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care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permită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accesul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sala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sport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bazinele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înot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afara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activității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educaționale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având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vedere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contextul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oferit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Legea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Educației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Fizice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Sportului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se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impune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aprobarea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regulament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cadru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utilizare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sălilor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sport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bazinelor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înot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din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unitățile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stat de pe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raza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municipiului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Timișoara. </w:t>
      </w:r>
    </w:p>
    <w:p w14:paraId="712A6F9F" w14:textId="3B2EA585" w:rsidR="005204C0" w:rsidRDefault="005204C0" w:rsidP="00CB6B36">
      <w:pPr>
        <w:ind w:firstLine="540"/>
        <w:jc w:val="both"/>
        <w:rPr>
          <w:rFonts w:asciiTheme="minorHAnsi" w:eastAsia="EB Garamond" w:hAnsiTheme="minorHAnsi" w:cs="EB Garamond"/>
          <w:sz w:val="24"/>
          <w:szCs w:val="24"/>
        </w:rPr>
      </w:pP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Regulamentul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0C45EC">
        <w:rPr>
          <w:rFonts w:asciiTheme="minorHAnsi" w:eastAsia="EB Garamond" w:hAnsiTheme="minorHAnsi" w:cs="EB Garamond"/>
          <w:sz w:val="24"/>
          <w:szCs w:val="24"/>
        </w:rPr>
        <w:t>propus</w:t>
      </w:r>
      <w:proofErr w:type="spellEnd"/>
      <w:r w:rsidR="000C45EC">
        <w:rPr>
          <w:rFonts w:asciiTheme="minorHAnsi" w:eastAsia="EB Garamond" w:hAnsiTheme="minorHAnsi" w:cs="EB Garamond"/>
          <w:sz w:val="24"/>
          <w:szCs w:val="24"/>
        </w:rPr>
        <w:t xml:space="preserve"> </w:t>
      </w: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face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referire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mod explicit la s</w:t>
      </w:r>
      <w:r w:rsidR="000C45EC">
        <w:rPr>
          <w:rFonts w:asciiTheme="minorHAnsi" w:eastAsia="EB Garamond" w:hAnsiTheme="minorHAnsi" w:cs="EB Garamond"/>
          <w:sz w:val="24"/>
          <w:szCs w:val="24"/>
          <w:lang w:val="ro-RO"/>
        </w:rPr>
        <w:t>ă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lile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sport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bazinele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înot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="000C45EC">
        <w:rPr>
          <w:rFonts w:asciiTheme="minorHAnsi" w:eastAsia="EB Garamond" w:hAnsiTheme="minorHAnsi" w:cs="EB Garamond"/>
          <w:sz w:val="24"/>
          <w:szCs w:val="24"/>
        </w:rPr>
        <w:t>iar</w:t>
      </w:r>
      <w:proofErr w:type="spellEnd"/>
      <w:r w:rsidR="000C45EC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autoritatea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publică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locală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unitățile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au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obligația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sprijini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accesul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conform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Legii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Educației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Fizice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Sportului</w:t>
      </w:r>
      <w:proofErr w:type="spellEnd"/>
      <w:r w:rsidR="000C45EC">
        <w:rPr>
          <w:rFonts w:asciiTheme="minorHAnsi" w:eastAsia="EB Garamond" w:hAnsiTheme="minorHAnsi" w:cs="EB Garamond"/>
          <w:sz w:val="24"/>
          <w:szCs w:val="24"/>
        </w:rPr>
        <w:t xml:space="preserve"> nr. 69/2000</w:t>
      </w: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.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asemenea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regulamentul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conține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explicitarea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modului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încheiere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gramStart"/>
      <w:r w:rsidRPr="005204C0">
        <w:rPr>
          <w:rFonts w:asciiTheme="minorHAnsi" w:eastAsia="EB Garamond" w:hAnsiTheme="minorHAnsi" w:cs="EB Garamond"/>
          <w:sz w:val="24"/>
          <w:szCs w:val="24"/>
        </w:rPr>
        <w:t>a</w:t>
      </w:r>
      <w:proofErr w:type="gram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acordului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parteneriat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cu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terții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pentru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utilizarea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sălilor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sport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bazinelor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înot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(considerate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spații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interioare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ale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unității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),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condi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  <w:lang w:val="ro-RO"/>
        </w:rPr>
        <w:t>ții</w:t>
      </w: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le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plată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ale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accesului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modul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utilizare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sumelor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încasate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.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Tarifele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propuse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Anexa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2 s-au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constituit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prin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consultare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tarifelor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închiriere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solicitate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operatori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economici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domeniu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cât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un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calcul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pe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costuri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întreținere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mentenanță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necesar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 fi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antrenate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spațiile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sportive,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funcție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specific.</w:t>
      </w:r>
    </w:p>
    <w:p w14:paraId="3938CE96" w14:textId="50EF9936" w:rsidR="00AC51DC" w:rsidRPr="005204C0" w:rsidRDefault="00B65C78" w:rsidP="00B65C78">
      <w:pPr>
        <w:spacing w:before="240" w:after="240"/>
        <w:ind w:firstLine="360"/>
        <w:jc w:val="both"/>
        <w:rPr>
          <w:rFonts w:asciiTheme="minorHAnsi" w:eastAsia="EB Garamond" w:hAnsiTheme="minorHAnsi" w:cs="EB Garamond"/>
          <w:sz w:val="24"/>
          <w:szCs w:val="24"/>
        </w:rPr>
      </w:pPr>
      <w:proofErr w:type="spellStart"/>
      <w:r>
        <w:rPr>
          <w:rFonts w:asciiTheme="minorHAnsi" w:eastAsia="EB Garamond" w:hAnsiTheme="minorHAnsi" w:cs="EB Garamond"/>
          <w:sz w:val="24"/>
          <w:szCs w:val="24"/>
        </w:rPr>
        <w:t>Așadar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î</w:t>
      </w:r>
      <w:r w:rsidR="00AC51DC">
        <w:rPr>
          <w:rFonts w:asciiTheme="minorHAnsi" w:eastAsia="EB Garamond" w:hAnsiTheme="minorHAnsi" w:cs="EB Garamond"/>
          <w:sz w:val="24"/>
          <w:szCs w:val="24"/>
        </w:rPr>
        <w:t>n</w:t>
      </w:r>
      <w:proofErr w:type="spellEnd"/>
      <w:r w:rsidR="00AC51DC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AC51DC">
        <w:rPr>
          <w:rFonts w:asciiTheme="minorHAnsi" w:eastAsia="EB Garamond" w:hAnsiTheme="minorHAnsi" w:cs="EB Garamond"/>
          <w:sz w:val="24"/>
          <w:szCs w:val="24"/>
        </w:rPr>
        <w:t>urma</w:t>
      </w:r>
      <w:proofErr w:type="spellEnd"/>
      <w:r w:rsidR="00AC51DC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AC51DC">
        <w:rPr>
          <w:rFonts w:asciiTheme="minorHAnsi" w:eastAsia="EB Garamond" w:hAnsiTheme="minorHAnsi" w:cs="EB Garamond"/>
          <w:sz w:val="24"/>
          <w:szCs w:val="24"/>
        </w:rPr>
        <w:t>detalierii</w:t>
      </w:r>
      <w:proofErr w:type="spellEnd"/>
      <w:r w:rsidR="00AC51DC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AC51DC">
        <w:rPr>
          <w:rFonts w:asciiTheme="minorHAnsi" w:eastAsia="EB Garamond" w:hAnsiTheme="minorHAnsi" w:cs="EB Garamond"/>
          <w:sz w:val="24"/>
          <w:szCs w:val="24"/>
        </w:rPr>
        <w:t>contextului</w:t>
      </w:r>
      <w:proofErr w:type="spellEnd"/>
      <w:r w:rsidR="00AC51DC">
        <w:rPr>
          <w:rFonts w:asciiTheme="minorHAnsi" w:eastAsia="EB Garamond" w:hAnsiTheme="minorHAnsi" w:cs="EB Garamond"/>
          <w:sz w:val="24"/>
          <w:szCs w:val="24"/>
        </w:rPr>
        <w:t xml:space="preserve"> legal actual</w:t>
      </w:r>
      <w:r>
        <w:rPr>
          <w:rFonts w:asciiTheme="minorHAnsi" w:eastAsia="EB Garamond" w:hAnsiTheme="minorHAnsi" w:cs="EB Garamond"/>
          <w:sz w:val="24"/>
          <w:szCs w:val="24"/>
        </w:rPr>
        <w:t>,</w:t>
      </w:r>
      <w:r w:rsidR="00AC51DC">
        <w:rPr>
          <w:rFonts w:asciiTheme="minorHAnsi" w:eastAsia="EB Garamond" w:hAnsiTheme="minorHAnsi" w:cs="EB Garamond"/>
          <w:sz w:val="24"/>
          <w:szCs w:val="24"/>
        </w:rPr>
        <w:t xml:space="preserve"> </w:t>
      </w:r>
      <w:r>
        <w:rPr>
          <w:rFonts w:asciiTheme="minorHAnsi" w:eastAsia="EB Garamond" w:hAnsiTheme="minorHAnsi" w:cs="EB Garamond"/>
          <w:sz w:val="24"/>
          <w:szCs w:val="24"/>
        </w:rPr>
        <w:t xml:space="preserve">se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propun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Anexele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 xml:space="preserve"> 1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 xml:space="preserve"> 2 ca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documentație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 xml:space="preserve"> care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sprijină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împlementarea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demersului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explicitat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 xml:space="preserve"> anterior. Se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propune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elaborarea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proiectului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hotărâre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consiliu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 xml:space="preserve"> local </w:t>
      </w:r>
      <w:proofErr w:type="spellStart"/>
      <w:r w:rsidR="00AC51DC" w:rsidRPr="005204C0">
        <w:rPr>
          <w:rFonts w:asciiTheme="minorHAnsi" w:eastAsia="EB Garamond" w:hAnsiTheme="minorHAnsi" w:cs="EB Garamond"/>
          <w:sz w:val="24"/>
          <w:szCs w:val="24"/>
        </w:rPr>
        <w:t>pentru</w:t>
      </w:r>
      <w:proofErr w:type="spellEnd"/>
      <w:r w:rsidR="00AC51DC" w:rsidRPr="005204C0">
        <w:rPr>
          <w:rFonts w:asciiTheme="minorHAnsi" w:eastAsia="EB Garamond" w:hAnsiTheme="minorHAnsi" w:cs="EB Garamond"/>
          <w:sz w:val="24"/>
          <w:szCs w:val="24"/>
        </w:rPr>
        <w:t xml:space="preserve"> a fi </w:t>
      </w:r>
      <w:proofErr w:type="spellStart"/>
      <w:r w:rsidR="00AC51DC" w:rsidRPr="005204C0">
        <w:rPr>
          <w:rFonts w:asciiTheme="minorHAnsi" w:eastAsia="EB Garamond" w:hAnsiTheme="minorHAnsi" w:cs="EB Garamond"/>
          <w:sz w:val="24"/>
          <w:szCs w:val="24"/>
        </w:rPr>
        <w:t>supus</w:t>
      </w:r>
      <w:proofErr w:type="spellEnd"/>
      <w:r w:rsidR="00AC51DC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AC51DC" w:rsidRPr="005204C0">
        <w:rPr>
          <w:rFonts w:asciiTheme="minorHAnsi" w:eastAsia="EB Garamond" w:hAnsiTheme="minorHAnsi" w:cs="EB Garamond"/>
          <w:sz w:val="24"/>
          <w:szCs w:val="24"/>
        </w:rPr>
        <w:t>dezbaterii</w:t>
      </w:r>
      <w:proofErr w:type="spellEnd"/>
      <w:r w:rsidR="00AC51DC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AC51DC"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="00AC51DC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AC51DC">
        <w:rPr>
          <w:rFonts w:asciiTheme="minorHAnsi" w:eastAsia="EB Garamond" w:hAnsiTheme="minorHAnsi" w:cs="EB Garamond"/>
          <w:sz w:val="24"/>
          <w:szCs w:val="24"/>
        </w:rPr>
        <w:t>înainta</w:t>
      </w:r>
      <w:r>
        <w:rPr>
          <w:rFonts w:asciiTheme="minorHAnsi" w:eastAsia="EB Garamond" w:hAnsiTheme="minorHAnsi" w:cs="EB Garamond"/>
          <w:sz w:val="24"/>
          <w:szCs w:val="24"/>
        </w:rPr>
        <w:t>rea</w:t>
      </w:r>
      <w:proofErr w:type="spellEnd"/>
      <w:r w:rsidR="00AC51DC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AC51DC">
        <w:rPr>
          <w:rFonts w:asciiTheme="minorHAnsi" w:eastAsia="EB Garamond" w:hAnsiTheme="minorHAnsi" w:cs="EB Garamond"/>
          <w:sz w:val="24"/>
          <w:szCs w:val="24"/>
        </w:rPr>
        <w:t>spre</w:t>
      </w:r>
      <w:proofErr w:type="spellEnd"/>
      <w:r w:rsidR="00AC51DC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AC51DC">
        <w:rPr>
          <w:rFonts w:asciiTheme="minorHAnsi" w:eastAsia="EB Garamond" w:hAnsiTheme="minorHAnsi" w:cs="EB Garamond"/>
          <w:sz w:val="24"/>
          <w:szCs w:val="24"/>
        </w:rPr>
        <w:t>aprobare</w:t>
      </w:r>
      <w:proofErr w:type="spellEnd"/>
      <w:r w:rsidR="00AC51DC">
        <w:rPr>
          <w:rFonts w:asciiTheme="minorHAnsi" w:eastAsia="EB Garamond" w:hAnsiTheme="minorHAnsi" w:cs="EB Garamond"/>
          <w:sz w:val="24"/>
          <w:szCs w:val="24"/>
        </w:rPr>
        <w:t xml:space="preserve">, cu </w:t>
      </w:r>
      <w:proofErr w:type="spellStart"/>
      <w:r w:rsidR="00AC51DC">
        <w:rPr>
          <w:rFonts w:asciiTheme="minorHAnsi" w:eastAsia="EB Garamond" w:hAnsiTheme="minorHAnsi" w:cs="EB Garamond"/>
          <w:sz w:val="24"/>
          <w:szCs w:val="24"/>
        </w:rPr>
        <w:t>documentația</w:t>
      </w:r>
      <w:proofErr w:type="spellEnd"/>
      <w:r w:rsidR="00AC51DC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AC51DC">
        <w:rPr>
          <w:rFonts w:asciiTheme="minorHAnsi" w:eastAsia="EB Garamond" w:hAnsiTheme="minorHAnsi" w:cs="EB Garamond"/>
          <w:sz w:val="24"/>
          <w:szCs w:val="24"/>
        </w:rPr>
        <w:t>aferentă</w:t>
      </w:r>
      <w:proofErr w:type="spellEnd"/>
      <w:r w:rsidR="00AC51DC"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 w:rsidR="00AC51DC" w:rsidRPr="005204C0">
        <w:rPr>
          <w:rFonts w:asciiTheme="minorHAnsi" w:eastAsia="EB Garamond" w:hAnsiTheme="minorHAnsi" w:cs="EB Garamond"/>
          <w:sz w:val="24"/>
          <w:szCs w:val="24"/>
        </w:rPr>
        <w:t>plenului</w:t>
      </w:r>
      <w:proofErr w:type="spellEnd"/>
      <w:r w:rsidR="00AC51DC"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AC51DC" w:rsidRPr="005204C0">
        <w:rPr>
          <w:rFonts w:asciiTheme="minorHAnsi" w:eastAsia="EB Garamond" w:hAnsiTheme="minorHAnsi" w:cs="EB Garamond"/>
          <w:sz w:val="24"/>
          <w:szCs w:val="24"/>
        </w:rPr>
        <w:t>consiliului</w:t>
      </w:r>
      <w:proofErr w:type="spellEnd"/>
      <w:r w:rsidR="00AC51DC" w:rsidRPr="005204C0">
        <w:rPr>
          <w:rFonts w:asciiTheme="minorHAnsi" w:eastAsia="EB Garamond" w:hAnsiTheme="minorHAnsi" w:cs="EB Garamond"/>
          <w:sz w:val="24"/>
          <w:szCs w:val="24"/>
        </w:rPr>
        <w:t xml:space="preserve"> local</w:t>
      </w:r>
      <w:r>
        <w:rPr>
          <w:rFonts w:asciiTheme="minorHAnsi" w:eastAsia="EB Garamond" w:hAnsiTheme="minorHAnsi" w:cs="EB Garamond"/>
          <w:sz w:val="24"/>
          <w:szCs w:val="24"/>
        </w:rPr>
        <w:t xml:space="preserve">, </w:t>
      </w:r>
      <w:proofErr w:type="spellStart"/>
      <w:r>
        <w:rPr>
          <w:rFonts w:asciiTheme="minorHAnsi" w:eastAsia="EB Garamond" w:hAnsiTheme="minorHAnsi" w:cs="EB Garamond"/>
          <w:sz w:val="24"/>
          <w:szCs w:val="24"/>
        </w:rPr>
        <w:t>astfel</w:t>
      </w:r>
      <w:proofErr w:type="spellEnd"/>
      <w:r>
        <w:rPr>
          <w:rFonts w:asciiTheme="minorHAnsi" w:eastAsia="EB Garamond" w:hAnsiTheme="minorHAnsi" w:cs="EB Garamond"/>
          <w:sz w:val="24"/>
          <w:szCs w:val="24"/>
        </w:rPr>
        <w:t>:</w:t>
      </w:r>
    </w:p>
    <w:p w14:paraId="19CD2628" w14:textId="3EE6844D" w:rsidR="00AC51DC" w:rsidRPr="005204C0" w:rsidRDefault="00AC51DC" w:rsidP="00AC51DC">
      <w:pPr>
        <w:numPr>
          <w:ilvl w:val="0"/>
          <w:numId w:val="17"/>
        </w:numPr>
        <w:spacing w:before="240"/>
        <w:jc w:val="both"/>
        <w:rPr>
          <w:rFonts w:asciiTheme="minorHAnsi" w:eastAsia="EB Garamond" w:hAnsiTheme="minorHAnsi" w:cs="EB Garamond"/>
          <w:sz w:val="24"/>
          <w:szCs w:val="24"/>
        </w:rPr>
      </w:pP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aprobarea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Regulamentului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utilizare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sălilor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sport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r>
        <w:rPr>
          <w:rFonts w:asciiTheme="minorHAnsi" w:eastAsia="EB Garamond" w:hAnsiTheme="minorHAnsi" w:cs="EB Garamond"/>
          <w:sz w:val="24"/>
          <w:szCs w:val="24"/>
        </w:rPr>
        <w:t xml:space="preserve">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bazinelor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r>
        <w:rPr>
          <w:rFonts w:asciiTheme="minorHAnsi" w:eastAsia="EB Garamond" w:hAnsiTheme="minorHAnsi" w:cs="EB Garamond"/>
          <w:sz w:val="24"/>
          <w:szCs w:val="24"/>
        </w:rPr>
        <w:t xml:space="preserve">de </w:t>
      </w:r>
      <w:r>
        <w:rPr>
          <w:rFonts w:asciiTheme="minorHAnsi" w:eastAsia="EB Garamond" w:hAnsiTheme="minorHAnsi" w:cs="EB Garamond"/>
          <w:sz w:val="24"/>
          <w:szCs w:val="24"/>
          <w:lang w:val="ro-RO"/>
        </w:rPr>
        <w:t>înot</w:t>
      </w: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din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cadrul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unităților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pe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raza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Mun</w:t>
      </w:r>
      <w:r w:rsidR="00481E54">
        <w:rPr>
          <w:rFonts w:asciiTheme="minorHAnsi" w:eastAsia="EB Garamond" w:hAnsiTheme="minorHAnsi" w:cs="EB Garamond"/>
          <w:sz w:val="24"/>
          <w:szCs w:val="24"/>
        </w:rPr>
        <w:t>.</w:t>
      </w: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Timișoara</w:t>
      </w:r>
      <w:r w:rsidR="00481E54">
        <w:rPr>
          <w:rFonts w:asciiTheme="minorHAnsi" w:eastAsia="EB Garamond" w:hAnsiTheme="minorHAnsi" w:cs="EB Garamond"/>
          <w:sz w:val="24"/>
          <w:szCs w:val="24"/>
        </w:rPr>
        <w:t xml:space="preserve"> conform </w:t>
      </w:r>
      <w:proofErr w:type="spellStart"/>
      <w:r w:rsidR="00481E54">
        <w:rPr>
          <w:rFonts w:asciiTheme="minorHAnsi" w:eastAsia="EB Garamond" w:hAnsiTheme="minorHAnsi" w:cs="EB Garamond"/>
          <w:sz w:val="24"/>
          <w:szCs w:val="24"/>
        </w:rPr>
        <w:t>Anexei</w:t>
      </w:r>
      <w:proofErr w:type="spellEnd"/>
      <w:r w:rsidR="00481E54">
        <w:rPr>
          <w:rFonts w:asciiTheme="minorHAnsi" w:eastAsia="EB Garamond" w:hAnsiTheme="minorHAnsi" w:cs="EB Garamond"/>
          <w:sz w:val="24"/>
          <w:szCs w:val="24"/>
        </w:rPr>
        <w:t xml:space="preserve"> 1</w:t>
      </w:r>
    </w:p>
    <w:p w14:paraId="6E3D97C2" w14:textId="30B04A4E" w:rsidR="00AC51DC" w:rsidRPr="005204C0" w:rsidRDefault="00AC51DC" w:rsidP="00AC51DC">
      <w:pPr>
        <w:numPr>
          <w:ilvl w:val="0"/>
          <w:numId w:val="17"/>
        </w:numPr>
        <w:spacing w:before="240"/>
        <w:jc w:val="both"/>
        <w:rPr>
          <w:rFonts w:asciiTheme="minorHAnsi" w:eastAsia="EB Garamond" w:hAnsiTheme="minorHAnsi" w:cs="EB Garamond"/>
          <w:sz w:val="24"/>
          <w:szCs w:val="24"/>
        </w:rPr>
      </w:pP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lastRenderedPageBreak/>
        <w:t>tariful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pentru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ut</w:t>
      </w:r>
      <w:r>
        <w:rPr>
          <w:rFonts w:asciiTheme="minorHAnsi" w:eastAsia="EB Garamond" w:hAnsiTheme="minorHAnsi" w:cs="EB Garamond"/>
          <w:sz w:val="24"/>
          <w:szCs w:val="24"/>
        </w:rPr>
        <w:t>i</w:t>
      </w:r>
      <w:r w:rsidRPr="005204C0">
        <w:rPr>
          <w:rFonts w:asciiTheme="minorHAnsi" w:eastAsia="EB Garamond" w:hAnsiTheme="minorHAnsi" w:cs="EB Garamond"/>
          <w:sz w:val="24"/>
          <w:szCs w:val="24"/>
        </w:rPr>
        <w:t>lizare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sălilor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sport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și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bazinelor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sportive din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cadrul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unităților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pe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raza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r w:rsidR="00481E54">
        <w:rPr>
          <w:rFonts w:asciiTheme="minorHAnsi" w:eastAsia="EB Garamond" w:hAnsiTheme="minorHAnsi" w:cs="EB Garamond"/>
          <w:sz w:val="24"/>
          <w:szCs w:val="24"/>
        </w:rPr>
        <w:t>Mun.</w:t>
      </w:r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Timișoara conform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Anexa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2.</w:t>
      </w:r>
    </w:p>
    <w:p w14:paraId="4BF3D567" w14:textId="6B839F5A" w:rsidR="00AC51DC" w:rsidRPr="005204C0" w:rsidRDefault="00AC51DC" w:rsidP="00AC51DC">
      <w:pPr>
        <w:numPr>
          <w:ilvl w:val="0"/>
          <w:numId w:val="17"/>
        </w:numPr>
        <w:spacing w:before="240"/>
        <w:jc w:val="both"/>
        <w:rPr>
          <w:rFonts w:asciiTheme="minorHAnsi" w:eastAsia="EB Garamond" w:hAnsiTheme="minorHAnsi" w:cs="EB Garamond"/>
          <w:sz w:val="24"/>
          <w:szCs w:val="24"/>
        </w:rPr>
      </w:pP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împuternicirea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Consiliilor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Administrație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ale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unităților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de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învățământ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să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elaboreze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Regulament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propriu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termenii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Pr="005204C0">
        <w:rPr>
          <w:rFonts w:asciiTheme="minorHAnsi" w:eastAsia="EB Garamond" w:hAnsiTheme="minorHAnsi" w:cs="EB Garamond"/>
          <w:sz w:val="24"/>
          <w:szCs w:val="24"/>
        </w:rPr>
        <w:t>Regulament</w:t>
      </w:r>
      <w:proofErr w:type="spellEnd"/>
      <w:r w:rsidRPr="005204C0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481E54">
        <w:rPr>
          <w:rFonts w:asciiTheme="minorHAnsi" w:eastAsia="EB Garamond" w:hAnsiTheme="minorHAnsi" w:cs="EB Garamond"/>
          <w:sz w:val="24"/>
          <w:szCs w:val="24"/>
        </w:rPr>
        <w:t>propupus</w:t>
      </w:r>
      <w:proofErr w:type="spellEnd"/>
      <w:r w:rsidR="00481E54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481E54">
        <w:rPr>
          <w:rFonts w:asciiTheme="minorHAnsi" w:eastAsia="EB Garamond" w:hAnsiTheme="minorHAnsi" w:cs="EB Garamond"/>
          <w:sz w:val="24"/>
          <w:szCs w:val="24"/>
        </w:rPr>
        <w:t>în</w:t>
      </w:r>
      <w:proofErr w:type="spellEnd"/>
      <w:r w:rsidR="00481E54">
        <w:rPr>
          <w:rFonts w:asciiTheme="minorHAnsi" w:eastAsia="EB Garamond" w:hAnsiTheme="minorHAnsi" w:cs="EB Garamond"/>
          <w:sz w:val="24"/>
          <w:szCs w:val="24"/>
        </w:rPr>
        <w:t xml:space="preserve"> </w:t>
      </w:r>
      <w:proofErr w:type="spellStart"/>
      <w:r w:rsidR="00481E54">
        <w:rPr>
          <w:rFonts w:asciiTheme="minorHAnsi" w:eastAsia="EB Garamond" w:hAnsiTheme="minorHAnsi" w:cs="EB Garamond"/>
          <w:sz w:val="24"/>
          <w:szCs w:val="24"/>
        </w:rPr>
        <w:t>Anexa</w:t>
      </w:r>
      <w:proofErr w:type="spellEnd"/>
      <w:r w:rsidR="00481E54">
        <w:rPr>
          <w:rFonts w:asciiTheme="minorHAnsi" w:eastAsia="EB Garamond" w:hAnsiTheme="minorHAnsi" w:cs="EB Garamond"/>
          <w:sz w:val="24"/>
          <w:szCs w:val="24"/>
        </w:rPr>
        <w:t xml:space="preserve"> 1 </w:t>
      </w:r>
      <w:proofErr w:type="spellStart"/>
      <w:r w:rsidRPr="005204C0">
        <w:rPr>
          <w:rFonts w:asciiTheme="minorHAnsi" w:hAnsiTheme="minorHAnsi"/>
          <w:sz w:val="24"/>
          <w:szCs w:val="24"/>
        </w:rPr>
        <w:t>și</w:t>
      </w:r>
      <w:proofErr w:type="spellEnd"/>
      <w:r w:rsidRPr="005204C0">
        <w:rPr>
          <w:rFonts w:asciiTheme="minorHAnsi" w:hAnsiTheme="minorHAnsi"/>
          <w:sz w:val="24"/>
          <w:szCs w:val="24"/>
        </w:rPr>
        <w:t xml:space="preserve"> cu </w:t>
      </w:r>
      <w:proofErr w:type="spellStart"/>
      <w:r w:rsidRPr="005204C0">
        <w:rPr>
          <w:rFonts w:asciiTheme="minorHAnsi" w:hAnsiTheme="minorHAnsi"/>
          <w:sz w:val="24"/>
          <w:szCs w:val="24"/>
        </w:rPr>
        <w:t>respectarea</w:t>
      </w:r>
      <w:proofErr w:type="spellEnd"/>
      <w:r w:rsidRPr="005204C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204C0">
        <w:rPr>
          <w:rFonts w:asciiTheme="minorHAnsi" w:hAnsiTheme="minorHAnsi"/>
          <w:sz w:val="24"/>
          <w:szCs w:val="24"/>
        </w:rPr>
        <w:t>tarifelor</w:t>
      </w:r>
      <w:proofErr w:type="spellEnd"/>
      <w:r w:rsidRPr="005204C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204C0">
        <w:rPr>
          <w:rFonts w:asciiTheme="minorHAnsi" w:hAnsiTheme="minorHAnsi"/>
          <w:sz w:val="24"/>
          <w:szCs w:val="24"/>
        </w:rPr>
        <w:t>prevăzute</w:t>
      </w:r>
      <w:proofErr w:type="spellEnd"/>
      <w:r w:rsidRPr="005204C0">
        <w:rPr>
          <w:rFonts w:asciiTheme="minorHAnsi" w:hAnsiTheme="minorHAnsi"/>
          <w:sz w:val="24"/>
          <w:szCs w:val="24"/>
        </w:rPr>
        <w:t xml:space="preserve"> la </w:t>
      </w:r>
      <w:proofErr w:type="spellStart"/>
      <w:r w:rsidRPr="005204C0">
        <w:rPr>
          <w:rFonts w:asciiTheme="minorHAnsi" w:hAnsiTheme="minorHAnsi"/>
          <w:sz w:val="24"/>
          <w:szCs w:val="24"/>
        </w:rPr>
        <w:t>Anexa</w:t>
      </w:r>
      <w:proofErr w:type="spellEnd"/>
      <w:r w:rsidRPr="005204C0">
        <w:rPr>
          <w:rFonts w:asciiTheme="minorHAnsi" w:hAnsiTheme="minorHAnsi"/>
          <w:sz w:val="24"/>
          <w:szCs w:val="24"/>
        </w:rPr>
        <w:t xml:space="preserve"> 2</w:t>
      </w:r>
    </w:p>
    <w:p w14:paraId="0790B88F" w14:textId="77777777" w:rsidR="00AC51DC" w:rsidRPr="005204C0" w:rsidRDefault="00AC51DC" w:rsidP="00CB6B36">
      <w:pPr>
        <w:ind w:firstLine="540"/>
        <w:jc w:val="both"/>
        <w:rPr>
          <w:rFonts w:asciiTheme="minorHAnsi" w:eastAsia="EB Garamond" w:hAnsiTheme="minorHAnsi" w:cs="EB Garamond"/>
          <w:sz w:val="24"/>
          <w:szCs w:val="24"/>
        </w:rPr>
      </w:pPr>
    </w:p>
    <w:p w14:paraId="04711278" w14:textId="33B69D31" w:rsidR="005204C0" w:rsidRPr="005204C0" w:rsidRDefault="005204C0" w:rsidP="005204C0">
      <w:pPr>
        <w:spacing w:before="240" w:after="240"/>
        <w:jc w:val="both"/>
        <w:rPr>
          <w:rFonts w:asciiTheme="minorHAnsi" w:eastAsia="EB Garamond" w:hAnsiTheme="minorHAnsi" w:cs="EB Garamond"/>
          <w:sz w:val="24"/>
          <w:szCs w:val="24"/>
          <w:lang w:val="ro-RO"/>
        </w:rPr>
      </w:pPr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>Director General</w:t>
      </w:r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ab/>
      </w:r>
      <w:r w:rsidRPr="005204C0">
        <w:rPr>
          <w:rFonts w:asciiTheme="minorHAnsi" w:eastAsia="EB Garamond" w:hAnsiTheme="minorHAnsi" w:cs="EB Garamond"/>
          <w:sz w:val="24"/>
          <w:szCs w:val="24"/>
        </w:rPr>
        <w:tab/>
      </w:r>
      <w:r w:rsidRPr="005204C0">
        <w:rPr>
          <w:rFonts w:asciiTheme="minorHAnsi" w:eastAsia="EB Garamond" w:hAnsiTheme="minorHAnsi" w:cs="EB Garamond"/>
          <w:sz w:val="24"/>
          <w:szCs w:val="24"/>
        </w:rPr>
        <w:tab/>
      </w:r>
      <w:r w:rsidRPr="005204C0">
        <w:rPr>
          <w:rFonts w:asciiTheme="minorHAnsi" w:eastAsia="EB Garamond" w:hAnsiTheme="minorHAnsi" w:cs="EB Garamond"/>
          <w:sz w:val="24"/>
          <w:szCs w:val="24"/>
        </w:rPr>
        <w:tab/>
      </w:r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ab/>
      </w:r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ab/>
        <w:t>Director Economic</w:t>
      </w:r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ab/>
      </w:r>
      <w:r w:rsidRPr="005204C0">
        <w:rPr>
          <w:rFonts w:asciiTheme="minorHAnsi" w:eastAsia="EB Garamond" w:hAnsiTheme="minorHAnsi" w:cs="EB Garamond"/>
          <w:sz w:val="24"/>
          <w:szCs w:val="24"/>
        </w:rPr>
        <w:tab/>
      </w:r>
      <w:r w:rsidRPr="005204C0">
        <w:rPr>
          <w:rFonts w:asciiTheme="minorHAnsi" w:eastAsia="EB Garamond" w:hAnsiTheme="minorHAnsi" w:cs="EB Garamond"/>
          <w:sz w:val="24"/>
          <w:szCs w:val="24"/>
        </w:rPr>
        <w:tab/>
        <w:t>Mihai BONCEA</w:t>
      </w:r>
      <w:r w:rsidRPr="005204C0">
        <w:rPr>
          <w:rFonts w:asciiTheme="minorHAnsi" w:eastAsia="EB Garamond" w:hAnsiTheme="minorHAnsi" w:cs="EB Garamond"/>
          <w:sz w:val="24"/>
          <w:szCs w:val="24"/>
        </w:rPr>
        <w:tab/>
      </w:r>
      <w:r w:rsidRPr="005204C0">
        <w:rPr>
          <w:rFonts w:asciiTheme="minorHAnsi" w:eastAsia="EB Garamond" w:hAnsiTheme="minorHAnsi" w:cs="EB Garamond"/>
          <w:sz w:val="24"/>
          <w:szCs w:val="24"/>
        </w:rPr>
        <w:tab/>
      </w:r>
      <w:r w:rsidRPr="005204C0">
        <w:rPr>
          <w:rFonts w:asciiTheme="minorHAnsi" w:eastAsia="EB Garamond" w:hAnsiTheme="minorHAnsi" w:cs="EB Garamond"/>
          <w:sz w:val="24"/>
          <w:szCs w:val="24"/>
        </w:rPr>
        <w:tab/>
      </w:r>
      <w:r w:rsidRPr="005204C0">
        <w:rPr>
          <w:rFonts w:asciiTheme="minorHAnsi" w:eastAsia="EB Garamond" w:hAnsiTheme="minorHAnsi" w:cs="EB Garamond"/>
          <w:sz w:val="24"/>
          <w:szCs w:val="24"/>
        </w:rPr>
        <w:tab/>
      </w:r>
      <w:r w:rsidRPr="005204C0">
        <w:rPr>
          <w:rFonts w:asciiTheme="minorHAnsi" w:eastAsia="EB Garamond" w:hAnsiTheme="minorHAnsi" w:cs="EB Garamond"/>
          <w:sz w:val="24"/>
          <w:szCs w:val="24"/>
        </w:rPr>
        <w:tab/>
      </w:r>
      <w:r w:rsidRPr="005204C0">
        <w:rPr>
          <w:rFonts w:asciiTheme="minorHAnsi" w:eastAsia="EB Garamond" w:hAnsiTheme="minorHAnsi" w:cs="EB Garamond"/>
          <w:sz w:val="24"/>
          <w:szCs w:val="24"/>
        </w:rPr>
        <w:tab/>
        <w:t>Simona PÎȚAN</w:t>
      </w:r>
    </w:p>
    <w:p w14:paraId="00DE3986" w14:textId="77777777" w:rsidR="005204C0" w:rsidRPr="005204C0" w:rsidRDefault="005204C0" w:rsidP="005204C0">
      <w:pPr>
        <w:spacing w:before="240" w:after="240"/>
        <w:jc w:val="both"/>
        <w:rPr>
          <w:rFonts w:asciiTheme="minorHAnsi" w:eastAsia="EB Garamond" w:hAnsiTheme="minorHAnsi" w:cs="EB Garamond"/>
          <w:sz w:val="24"/>
          <w:szCs w:val="24"/>
        </w:rPr>
      </w:pPr>
    </w:p>
    <w:p w14:paraId="6851786F" w14:textId="77777777" w:rsidR="005204C0" w:rsidRPr="005204C0" w:rsidRDefault="005204C0" w:rsidP="005204C0">
      <w:pPr>
        <w:spacing w:before="240" w:after="240"/>
        <w:jc w:val="both"/>
        <w:rPr>
          <w:rFonts w:asciiTheme="minorHAnsi" w:eastAsia="EB Garamond" w:hAnsiTheme="minorHAnsi" w:cs="EB Garamond"/>
          <w:sz w:val="24"/>
          <w:szCs w:val="24"/>
        </w:rPr>
      </w:pPr>
    </w:p>
    <w:p w14:paraId="597923A7" w14:textId="77777777" w:rsidR="005204C0" w:rsidRPr="008414D2" w:rsidRDefault="005204C0" w:rsidP="005204C0">
      <w:pPr>
        <w:jc w:val="both"/>
        <w:rPr>
          <w:rFonts w:asciiTheme="minorHAnsi" w:eastAsia="EB Garamond" w:hAnsiTheme="minorHAnsi" w:cs="EB Garamond"/>
          <w:b/>
          <w:bCs/>
          <w:sz w:val="24"/>
          <w:szCs w:val="24"/>
        </w:rPr>
      </w:pPr>
      <w:proofErr w:type="spellStart"/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>Șef</w:t>
      </w:r>
      <w:proofErr w:type="spellEnd"/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 xml:space="preserve"> </w:t>
      </w:r>
      <w:proofErr w:type="spellStart"/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>Serviciu</w:t>
      </w:r>
      <w:proofErr w:type="spellEnd"/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 xml:space="preserve"> </w:t>
      </w:r>
      <w:proofErr w:type="spellStart"/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>Strategii</w:t>
      </w:r>
      <w:proofErr w:type="spellEnd"/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 xml:space="preserve"> </w:t>
      </w:r>
      <w:proofErr w:type="spellStart"/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>și</w:t>
      </w:r>
      <w:proofErr w:type="spellEnd"/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 xml:space="preserve"> </w:t>
      </w:r>
      <w:proofErr w:type="spellStart"/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>Programe</w:t>
      </w:r>
      <w:proofErr w:type="spellEnd"/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 xml:space="preserve"> </w:t>
      </w:r>
      <w:proofErr w:type="spellStart"/>
      <w:r w:rsidRPr="008414D2">
        <w:rPr>
          <w:rFonts w:asciiTheme="minorHAnsi" w:eastAsia="EB Garamond" w:hAnsiTheme="minorHAnsi" w:cs="EB Garamond"/>
          <w:b/>
          <w:bCs/>
          <w:sz w:val="24"/>
          <w:szCs w:val="24"/>
        </w:rPr>
        <w:t>Educaționale</w:t>
      </w:r>
      <w:proofErr w:type="spellEnd"/>
    </w:p>
    <w:p w14:paraId="6CBA55A1" w14:textId="7C26041F" w:rsidR="005204C0" w:rsidRPr="005204C0" w:rsidRDefault="005204C0" w:rsidP="005204C0">
      <w:pPr>
        <w:spacing w:after="240"/>
        <w:ind w:firstLine="720"/>
        <w:jc w:val="both"/>
        <w:rPr>
          <w:rFonts w:asciiTheme="minorHAnsi" w:eastAsia="EB Garamond" w:hAnsiTheme="minorHAnsi" w:cs="EB Garamond"/>
          <w:sz w:val="24"/>
          <w:szCs w:val="24"/>
        </w:rPr>
      </w:pPr>
      <w:r w:rsidRPr="005204C0">
        <w:rPr>
          <w:rFonts w:asciiTheme="minorHAnsi" w:eastAsia="EB Garamond" w:hAnsiTheme="minorHAnsi" w:cs="EB Garamond"/>
          <w:sz w:val="24"/>
          <w:szCs w:val="24"/>
        </w:rPr>
        <w:t>Carmen PROTEASA</w:t>
      </w:r>
    </w:p>
    <w:p w14:paraId="4373FCD2" w14:textId="77777777" w:rsidR="005204C0" w:rsidRPr="005204C0" w:rsidRDefault="005204C0" w:rsidP="005204C0">
      <w:pPr>
        <w:ind w:left="720"/>
        <w:rPr>
          <w:rFonts w:asciiTheme="minorHAnsi" w:eastAsia="EB Garamond" w:hAnsiTheme="minorHAnsi" w:cs="EB Garamond"/>
          <w:sz w:val="24"/>
          <w:szCs w:val="24"/>
        </w:rPr>
      </w:pPr>
    </w:p>
    <w:p w14:paraId="1CF7E446" w14:textId="77777777" w:rsidR="00CE48F5" w:rsidRPr="005204C0" w:rsidRDefault="00CE48F5" w:rsidP="005204C0">
      <w:pPr>
        <w:rPr>
          <w:rFonts w:asciiTheme="minorHAnsi" w:hAnsiTheme="minorHAnsi"/>
        </w:rPr>
      </w:pPr>
    </w:p>
    <w:sectPr w:rsidR="00CE48F5" w:rsidRPr="005204C0" w:rsidSect="00B65C78">
      <w:headerReference w:type="default" r:id="rId7"/>
      <w:pgSz w:w="11909" w:h="16834"/>
      <w:pgMar w:top="2692" w:right="1419" w:bottom="1418" w:left="1418" w:header="68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D2DE" w14:textId="77777777" w:rsidR="00625892" w:rsidRDefault="00625892" w:rsidP="00545895">
      <w:pPr>
        <w:spacing w:line="240" w:lineRule="auto"/>
      </w:pPr>
      <w:r>
        <w:separator/>
      </w:r>
    </w:p>
  </w:endnote>
  <w:endnote w:type="continuationSeparator" w:id="0">
    <w:p w14:paraId="55869A83" w14:textId="77777777" w:rsidR="00625892" w:rsidRDefault="00625892" w:rsidP="00545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C6F3" w14:textId="77777777" w:rsidR="00625892" w:rsidRDefault="00625892" w:rsidP="00545895">
      <w:pPr>
        <w:spacing w:line="240" w:lineRule="auto"/>
      </w:pPr>
      <w:r>
        <w:separator/>
      </w:r>
    </w:p>
  </w:footnote>
  <w:footnote w:type="continuationSeparator" w:id="0">
    <w:p w14:paraId="356CAE3F" w14:textId="77777777" w:rsidR="00625892" w:rsidRDefault="00625892" w:rsidP="005458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EFFC" w14:textId="49E94B06" w:rsidR="00F63C86" w:rsidRPr="00511719" w:rsidRDefault="00000000">
    <w:pPr>
      <w:pStyle w:val="Normal1"/>
      <w:rPr>
        <w:rFonts w:ascii="Times New Roman" w:hAnsi="Times New Roman" w:cs="Times New Roman"/>
        <w:b/>
        <w:sz w:val="18"/>
        <w:szCs w:val="18"/>
      </w:rPr>
    </w:pPr>
    <w:sdt>
      <w:sdtPr>
        <w:rPr>
          <w:rFonts w:ascii="Times New Roman" w:hAnsi="Times New Roman" w:cs="Times New Roman"/>
          <w:b/>
          <w:sz w:val="18"/>
          <w:szCs w:val="18"/>
        </w:rPr>
        <w:id w:val="736062077"/>
        <w:docPartObj>
          <w:docPartGallery w:val="Page Numbers (Margins)"/>
          <w:docPartUnique/>
        </w:docPartObj>
      </w:sdtPr>
      <w:sdtContent>
        <w:r w:rsidR="00481E54" w:rsidRPr="00481E54">
          <w:rPr>
            <w:rFonts w:ascii="Times New Roman" w:hAnsi="Times New Roman" w:cs="Times New Roman"/>
            <w:b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1C02DCA4" wp14:editId="556F97C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748EF" w14:textId="77777777" w:rsidR="00481E54" w:rsidRDefault="00481E54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C02DCA4" id="Rectangle 1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4D748EF" w14:textId="77777777" w:rsidR="00481E54" w:rsidRDefault="00481E54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65C78" w:rsidRPr="00511719">
      <w:rPr>
        <w:rFonts w:ascii="Times New Roman" w:hAnsi="Times New Roman" w:cs="Times New Roman"/>
        <w:b/>
        <w:noProof/>
        <w:sz w:val="18"/>
        <w:szCs w:val="18"/>
      </w:rPr>
      <w:drawing>
        <wp:anchor distT="0" distB="0" distL="0" distR="0" simplePos="0" relativeHeight="251664384" behindDoc="0" locked="0" layoutInCell="1" allowOverlap="1" wp14:anchorId="74A7EC78" wp14:editId="70883916">
          <wp:simplePos x="0" y="0"/>
          <wp:positionH relativeFrom="page">
            <wp:posOffset>767080</wp:posOffset>
          </wp:positionH>
          <wp:positionV relativeFrom="page">
            <wp:posOffset>614680</wp:posOffset>
          </wp:positionV>
          <wp:extent cx="586740" cy="769620"/>
          <wp:effectExtent l="0" t="0" r="3810" b="0"/>
          <wp:wrapSquare wrapText="bothSides" distT="0" distB="0" distL="0" distR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11762" r="12000"/>
                  <a:stretch/>
                </pic:blipFill>
                <pic:spPr bwMode="auto">
                  <a:xfrm>
                    <a:off x="0" y="0"/>
                    <a:ext cx="586740" cy="769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1245313" w14:textId="08205392" w:rsidR="00545895" w:rsidRPr="00E0079F" w:rsidRDefault="00E0079F">
    <w:pPr>
      <w:pStyle w:val="Normal1"/>
      <w:rPr>
        <w:rFonts w:ascii="Times New Roman" w:hAnsi="Times New Roman" w:cs="Times New Roman"/>
        <w:b/>
        <w:sz w:val="18"/>
        <w:szCs w:val="18"/>
        <w:lang w:val="ro-RO"/>
      </w:rPr>
    </w:pPr>
    <w:r>
      <w:rPr>
        <w:rFonts w:ascii="Times New Roman" w:hAnsi="Times New Roman" w:cs="Times New Roman"/>
        <w:b/>
        <w:sz w:val="18"/>
        <w:szCs w:val="18"/>
      </w:rPr>
      <w:t xml:space="preserve">   </w:t>
    </w:r>
    <w:r w:rsidRPr="00E0079F">
      <w:rPr>
        <w:rFonts w:ascii="Times New Roman" w:hAnsi="Times New Roman" w:cs="Times New Roman"/>
        <w:b/>
        <w:sz w:val="18"/>
        <w:szCs w:val="18"/>
      </w:rPr>
      <w:t>ROM</w:t>
    </w:r>
    <w:r w:rsidRPr="00E0079F">
      <w:rPr>
        <w:rFonts w:ascii="Times New Roman" w:hAnsi="Times New Roman" w:cs="Times New Roman"/>
        <w:b/>
        <w:sz w:val="18"/>
        <w:szCs w:val="18"/>
        <w:lang w:val="ro-RO"/>
      </w:rPr>
      <w:t>ÂNIA</w:t>
    </w:r>
  </w:p>
  <w:p w14:paraId="41F16A87" w14:textId="10E5294B" w:rsidR="005C4364" w:rsidRPr="00E0079F" w:rsidRDefault="00E0079F">
    <w:pPr>
      <w:pStyle w:val="Normal1"/>
      <w:rPr>
        <w:rFonts w:ascii="Times New Roman" w:hAnsi="Times New Roman" w:cs="Times New Roman"/>
        <w:b/>
        <w:sz w:val="18"/>
        <w:szCs w:val="18"/>
        <w:lang w:val="ro-RO"/>
      </w:rPr>
    </w:pPr>
    <w:r>
      <w:rPr>
        <w:rFonts w:ascii="Times New Roman" w:hAnsi="Times New Roman" w:cs="Times New Roman"/>
        <w:b/>
        <w:sz w:val="18"/>
        <w:szCs w:val="18"/>
        <w:lang w:val="ro-RO"/>
      </w:rPr>
      <w:t xml:space="preserve">   </w:t>
    </w:r>
    <w:r w:rsidRPr="00E0079F">
      <w:rPr>
        <w:rFonts w:ascii="Times New Roman" w:hAnsi="Times New Roman" w:cs="Times New Roman"/>
        <w:b/>
        <w:sz w:val="18"/>
        <w:szCs w:val="18"/>
        <w:lang w:val="ro-RO"/>
      </w:rPr>
      <w:t>JUDEȚUL TIMIȘ</w:t>
    </w:r>
  </w:p>
  <w:p w14:paraId="5B4AFD04" w14:textId="47F1C3DB" w:rsidR="005C4364" w:rsidRPr="00E0079F" w:rsidRDefault="00E0079F">
    <w:pPr>
      <w:pStyle w:val="Normal1"/>
      <w:rPr>
        <w:rFonts w:ascii="Times New Roman" w:hAnsi="Times New Roman" w:cs="Times New Roman"/>
        <w:b/>
        <w:sz w:val="18"/>
        <w:szCs w:val="18"/>
        <w:lang w:val="ro-RO"/>
      </w:rPr>
    </w:pPr>
    <w:r>
      <w:rPr>
        <w:rFonts w:ascii="Times New Roman" w:hAnsi="Times New Roman" w:cs="Times New Roman"/>
        <w:b/>
        <w:sz w:val="18"/>
        <w:szCs w:val="18"/>
        <w:lang w:val="ro-RO"/>
      </w:rPr>
      <w:t xml:space="preserve">   </w:t>
    </w:r>
    <w:r w:rsidRPr="00E0079F">
      <w:rPr>
        <w:rFonts w:ascii="Times New Roman" w:hAnsi="Times New Roman" w:cs="Times New Roman"/>
        <w:b/>
        <w:sz w:val="18"/>
        <w:szCs w:val="18"/>
        <w:lang w:val="ro-RO"/>
      </w:rPr>
      <w:t>CONSILIUL LOCAL AL MUNICIPIULUI TIMIȘOARA</w:t>
    </w:r>
  </w:p>
  <w:p w14:paraId="56E1355D" w14:textId="0B6AB282" w:rsidR="005C4364" w:rsidRPr="00E0079F" w:rsidRDefault="00E0079F">
    <w:pPr>
      <w:pStyle w:val="Normal1"/>
      <w:rPr>
        <w:rFonts w:ascii="Times New Roman" w:hAnsi="Times New Roman" w:cs="Times New Roman"/>
        <w:b/>
        <w:sz w:val="18"/>
        <w:szCs w:val="18"/>
        <w:lang w:val="ro-RO"/>
      </w:rPr>
    </w:pPr>
    <w:r>
      <w:rPr>
        <w:rFonts w:ascii="Times New Roman" w:hAnsi="Times New Roman" w:cs="Times New Roman"/>
        <w:b/>
        <w:sz w:val="18"/>
        <w:szCs w:val="18"/>
        <w:lang w:val="ro-RO"/>
      </w:rPr>
      <w:t xml:space="preserve">   </w:t>
    </w:r>
    <w:r w:rsidRPr="00E0079F">
      <w:rPr>
        <w:rFonts w:ascii="Times New Roman" w:hAnsi="Times New Roman" w:cs="Times New Roman"/>
        <w:b/>
        <w:sz w:val="18"/>
        <w:szCs w:val="18"/>
        <w:lang w:val="ro-RO"/>
      </w:rPr>
      <w:t>ADMINISTRAȚIA PENTRU SĂNĂTATE ȘI EDUCAȚIE A MUNICIPIULUI TIMIȘOARA</w:t>
    </w:r>
  </w:p>
  <w:p w14:paraId="137A94B9" w14:textId="3BA1E686" w:rsidR="00545895" w:rsidRDefault="00E0079F">
    <w:pPr>
      <w:pStyle w:val="Normal1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</w:t>
    </w:r>
    <w:r w:rsidR="002F0B69" w:rsidRPr="00511719">
      <w:rPr>
        <w:rFonts w:ascii="Times New Roman" w:hAnsi="Times New Roman" w:cs="Times New Roman"/>
        <w:sz w:val="18"/>
        <w:szCs w:val="18"/>
      </w:rPr>
      <w:t xml:space="preserve">Bd. C.D. Loga nr. 1, Timișoara, </w:t>
    </w:r>
    <w:proofErr w:type="spellStart"/>
    <w:r w:rsidR="002F0B69" w:rsidRPr="00511719">
      <w:rPr>
        <w:rFonts w:ascii="Times New Roman" w:hAnsi="Times New Roman" w:cs="Times New Roman"/>
        <w:sz w:val="18"/>
        <w:szCs w:val="18"/>
      </w:rPr>
      <w:t>România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r w:rsidR="00FC4089" w:rsidRPr="00511719">
      <w:rPr>
        <w:rFonts w:ascii="Times New Roman" w:hAnsi="Times New Roman" w:cs="Times New Roman"/>
        <w:sz w:val="18"/>
        <w:szCs w:val="18"/>
      </w:rPr>
      <w:t>+40256-408.300</w:t>
    </w:r>
  </w:p>
  <w:p w14:paraId="4CEDAF34" w14:textId="77777777" w:rsidR="006B0767" w:rsidRDefault="006B0767">
    <w:pPr>
      <w:pStyle w:val="Normal1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6D55"/>
    <w:multiLevelType w:val="multilevel"/>
    <w:tmpl w:val="EE62D8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06228C"/>
    <w:multiLevelType w:val="hybridMultilevel"/>
    <w:tmpl w:val="056E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62379"/>
    <w:multiLevelType w:val="multilevel"/>
    <w:tmpl w:val="0D0E0F84"/>
    <w:lvl w:ilvl="0">
      <w:start w:val="1"/>
      <w:numFmt w:val="decimal"/>
      <w:lvlText w:val="(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85838"/>
    <w:multiLevelType w:val="hybridMultilevel"/>
    <w:tmpl w:val="8C2A9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20B40"/>
    <w:multiLevelType w:val="hybridMultilevel"/>
    <w:tmpl w:val="F4923AD6"/>
    <w:lvl w:ilvl="0" w:tplc="01BA99D4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04E3C4A"/>
    <w:multiLevelType w:val="hybridMultilevel"/>
    <w:tmpl w:val="0B8C59A0"/>
    <w:lvl w:ilvl="0" w:tplc="718EE0EA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0D862B1"/>
    <w:multiLevelType w:val="hybridMultilevel"/>
    <w:tmpl w:val="CCD6D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74E89"/>
    <w:multiLevelType w:val="multilevel"/>
    <w:tmpl w:val="4264506E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024CF7"/>
    <w:multiLevelType w:val="hybridMultilevel"/>
    <w:tmpl w:val="A96E5A10"/>
    <w:lvl w:ilvl="0" w:tplc="041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AE612A8"/>
    <w:multiLevelType w:val="hybridMultilevel"/>
    <w:tmpl w:val="CECE46B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11C6DB6"/>
    <w:multiLevelType w:val="multilevel"/>
    <w:tmpl w:val="DA324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16717E5"/>
    <w:multiLevelType w:val="hybridMultilevel"/>
    <w:tmpl w:val="97669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27622D"/>
    <w:multiLevelType w:val="multilevel"/>
    <w:tmpl w:val="29C855B0"/>
    <w:lvl w:ilvl="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FA344C6"/>
    <w:multiLevelType w:val="hybridMultilevel"/>
    <w:tmpl w:val="31F85FD0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F01C69"/>
    <w:multiLevelType w:val="hybridMultilevel"/>
    <w:tmpl w:val="2E98C592"/>
    <w:lvl w:ilvl="0" w:tplc="040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5" w15:restartNumberingAfterBreak="0">
    <w:nsid w:val="678B030A"/>
    <w:multiLevelType w:val="hybridMultilevel"/>
    <w:tmpl w:val="7DD2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E3566"/>
    <w:multiLevelType w:val="multilevel"/>
    <w:tmpl w:val="926E32E0"/>
    <w:lvl w:ilvl="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022513662">
    <w:abstractNumId w:val="10"/>
  </w:num>
  <w:num w:numId="2" w16cid:durableId="2133671058">
    <w:abstractNumId w:val="13"/>
  </w:num>
  <w:num w:numId="3" w16cid:durableId="1051344078">
    <w:abstractNumId w:val="14"/>
  </w:num>
  <w:num w:numId="4" w16cid:durableId="1183319910">
    <w:abstractNumId w:val="15"/>
  </w:num>
  <w:num w:numId="5" w16cid:durableId="66155512">
    <w:abstractNumId w:val="9"/>
  </w:num>
  <w:num w:numId="6" w16cid:durableId="1077019555">
    <w:abstractNumId w:val="1"/>
  </w:num>
  <w:num w:numId="7" w16cid:durableId="2018726588">
    <w:abstractNumId w:val="4"/>
  </w:num>
  <w:num w:numId="8" w16cid:durableId="523372447">
    <w:abstractNumId w:val="3"/>
  </w:num>
  <w:num w:numId="9" w16cid:durableId="19632268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23647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6161616">
    <w:abstractNumId w:val="8"/>
  </w:num>
  <w:num w:numId="12" w16cid:durableId="1826436342">
    <w:abstractNumId w:val="5"/>
  </w:num>
  <w:num w:numId="13" w16cid:durableId="1276209269">
    <w:abstractNumId w:val="12"/>
  </w:num>
  <w:num w:numId="14" w16cid:durableId="192499164">
    <w:abstractNumId w:val="16"/>
  </w:num>
  <w:num w:numId="15" w16cid:durableId="893925296">
    <w:abstractNumId w:val="2"/>
  </w:num>
  <w:num w:numId="16" w16cid:durableId="186532479">
    <w:abstractNumId w:val="7"/>
  </w:num>
  <w:num w:numId="17" w16cid:durableId="151992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95"/>
    <w:rsid w:val="000071F6"/>
    <w:rsid w:val="00012E61"/>
    <w:rsid w:val="00015AE8"/>
    <w:rsid w:val="0002234C"/>
    <w:rsid w:val="0002401C"/>
    <w:rsid w:val="000320F5"/>
    <w:rsid w:val="0003241A"/>
    <w:rsid w:val="000479F8"/>
    <w:rsid w:val="00057C25"/>
    <w:rsid w:val="00067F50"/>
    <w:rsid w:val="00073D1A"/>
    <w:rsid w:val="00077079"/>
    <w:rsid w:val="00085A3C"/>
    <w:rsid w:val="000867B2"/>
    <w:rsid w:val="000A04EA"/>
    <w:rsid w:val="000A05FB"/>
    <w:rsid w:val="000A60B5"/>
    <w:rsid w:val="000B7C76"/>
    <w:rsid w:val="000C3DBF"/>
    <w:rsid w:val="000C45EC"/>
    <w:rsid w:val="000C5A0F"/>
    <w:rsid w:val="000D655E"/>
    <w:rsid w:val="000D6D0C"/>
    <w:rsid w:val="000E74D3"/>
    <w:rsid w:val="00106E78"/>
    <w:rsid w:val="00110351"/>
    <w:rsid w:val="00111ADA"/>
    <w:rsid w:val="00130A3B"/>
    <w:rsid w:val="00131F82"/>
    <w:rsid w:val="00142E59"/>
    <w:rsid w:val="00143D13"/>
    <w:rsid w:val="00176645"/>
    <w:rsid w:val="0019456E"/>
    <w:rsid w:val="0019655E"/>
    <w:rsid w:val="001967BA"/>
    <w:rsid w:val="001A5843"/>
    <w:rsid w:val="001B104E"/>
    <w:rsid w:val="001B26F9"/>
    <w:rsid w:val="001C750C"/>
    <w:rsid w:val="001D04BD"/>
    <w:rsid w:val="001D64DB"/>
    <w:rsid w:val="001E7479"/>
    <w:rsid w:val="00206F0E"/>
    <w:rsid w:val="002110B6"/>
    <w:rsid w:val="00225690"/>
    <w:rsid w:val="0023103D"/>
    <w:rsid w:val="0023244F"/>
    <w:rsid w:val="00232600"/>
    <w:rsid w:val="00253C64"/>
    <w:rsid w:val="00256271"/>
    <w:rsid w:val="00261D72"/>
    <w:rsid w:val="002645E8"/>
    <w:rsid w:val="00274C15"/>
    <w:rsid w:val="0027518A"/>
    <w:rsid w:val="00286ED6"/>
    <w:rsid w:val="00293D2B"/>
    <w:rsid w:val="00294653"/>
    <w:rsid w:val="002978DE"/>
    <w:rsid w:val="002A0726"/>
    <w:rsid w:val="002A081B"/>
    <w:rsid w:val="002D675E"/>
    <w:rsid w:val="002E58AD"/>
    <w:rsid w:val="002F0B69"/>
    <w:rsid w:val="002F336C"/>
    <w:rsid w:val="00300019"/>
    <w:rsid w:val="00300955"/>
    <w:rsid w:val="003064C3"/>
    <w:rsid w:val="00322948"/>
    <w:rsid w:val="003268E1"/>
    <w:rsid w:val="0034042B"/>
    <w:rsid w:val="00340D6F"/>
    <w:rsid w:val="00346487"/>
    <w:rsid w:val="00354BC3"/>
    <w:rsid w:val="00373C8C"/>
    <w:rsid w:val="0038621B"/>
    <w:rsid w:val="00391276"/>
    <w:rsid w:val="003A4B8D"/>
    <w:rsid w:val="003A69F2"/>
    <w:rsid w:val="003A77B1"/>
    <w:rsid w:val="003B2F1F"/>
    <w:rsid w:val="003D04F5"/>
    <w:rsid w:val="003D2D37"/>
    <w:rsid w:val="003E609D"/>
    <w:rsid w:val="003F0C8B"/>
    <w:rsid w:val="003F195D"/>
    <w:rsid w:val="003F3ADD"/>
    <w:rsid w:val="003F3B16"/>
    <w:rsid w:val="003F4D19"/>
    <w:rsid w:val="004275DD"/>
    <w:rsid w:val="004279CE"/>
    <w:rsid w:val="0043509E"/>
    <w:rsid w:val="004449B0"/>
    <w:rsid w:val="00444B83"/>
    <w:rsid w:val="00455C2F"/>
    <w:rsid w:val="00455D9B"/>
    <w:rsid w:val="00470509"/>
    <w:rsid w:val="004735B4"/>
    <w:rsid w:val="00475FA4"/>
    <w:rsid w:val="004765B8"/>
    <w:rsid w:val="00481E54"/>
    <w:rsid w:val="0049785F"/>
    <w:rsid w:val="004C5F34"/>
    <w:rsid w:val="004C7CD2"/>
    <w:rsid w:val="004D27A3"/>
    <w:rsid w:val="004D74B2"/>
    <w:rsid w:val="004E7631"/>
    <w:rsid w:val="004F6794"/>
    <w:rsid w:val="004F7ECA"/>
    <w:rsid w:val="00511719"/>
    <w:rsid w:val="00511C76"/>
    <w:rsid w:val="005204C0"/>
    <w:rsid w:val="00521A9A"/>
    <w:rsid w:val="00534213"/>
    <w:rsid w:val="00545895"/>
    <w:rsid w:val="00546C81"/>
    <w:rsid w:val="0056242D"/>
    <w:rsid w:val="00577DFE"/>
    <w:rsid w:val="00584E58"/>
    <w:rsid w:val="00592DF8"/>
    <w:rsid w:val="00597C04"/>
    <w:rsid w:val="005B0E8B"/>
    <w:rsid w:val="005B5AA1"/>
    <w:rsid w:val="005B664F"/>
    <w:rsid w:val="005C40E8"/>
    <w:rsid w:val="005C4364"/>
    <w:rsid w:val="005C4F94"/>
    <w:rsid w:val="005D71D8"/>
    <w:rsid w:val="005E0274"/>
    <w:rsid w:val="005F2977"/>
    <w:rsid w:val="00602254"/>
    <w:rsid w:val="006035B7"/>
    <w:rsid w:val="00604E82"/>
    <w:rsid w:val="0060628B"/>
    <w:rsid w:val="00622A69"/>
    <w:rsid w:val="00622A7B"/>
    <w:rsid w:val="00625892"/>
    <w:rsid w:val="00627478"/>
    <w:rsid w:val="00631904"/>
    <w:rsid w:val="006441FA"/>
    <w:rsid w:val="00651EE0"/>
    <w:rsid w:val="00663961"/>
    <w:rsid w:val="00677572"/>
    <w:rsid w:val="00680DDB"/>
    <w:rsid w:val="00685353"/>
    <w:rsid w:val="0068557E"/>
    <w:rsid w:val="0069159E"/>
    <w:rsid w:val="006A7921"/>
    <w:rsid w:val="006B0767"/>
    <w:rsid w:val="006B3272"/>
    <w:rsid w:val="006C070B"/>
    <w:rsid w:val="006C07DB"/>
    <w:rsid w:val="006C1907"/>
    <w:rsid w:val="006D310C"/>
    <w:rsid w:val="006D5841"/>
    <w:rsid w:val="0070041D"/>
    <w:rsid w:val="00700B86"/>
    <w:rsid w:val="007015B2"/>
    <w:rsid w:val="00702679"/>
    <w:rsid w:val="007123C5"/>
    <w:rsid w:val="0071327D"/>
    <w:rsid w:val="00714DFE"/>
    <w:rsid w:val="00717883"/>
    <w:rsid w:val="00722BBE"/>
    <w:rsid w:val="0072517B"/>
    <w:rsid w:val="00733352"/>
    <w:rsid w:val="007407AD"/>
    <w:rsid w:val="0075209D"/>
    <w:rsid w:val="0075625F"/>
    <w:rsid w:val="007755D4"/>
    <w:rsid w:val="007807D8"/>
    <w:rsid w:val="00786F2F"/>
    <w:rsid w:val="00791672"/>
    <w:rsid w:val="007B1E71"/>
    <w:rsid w:val="007B6BC1"/>
    <w:rsid w:val="007C09A3"/>
    <w:rsid w:val="007C5988"/>
    <w:rsid w:val="007D21A9"/>
    <w:rsid w:val="007D580A"/>
    <w:rsid w:val="00800EFA"/>
    <w:rsid w:val="008013B4"/>
    <w:rsid w:val="00811D0A"/>
    <w:rsid w:val="00815A7E"/>
    <w:rsid w:val="00817D27"/>
    <w:rsid w:val="00820C07"/>
    <w:rsid w:val="00827169"/>
    <w:rsid w:val="00830E1F"/>
    <w:rsid w:val="0083127F"/>
    <w:rsid w:val="008319AE"/>
    <w:rsid w:val="00833FBF"/>
    <w:rsid w:val="008414D2"/>
    <w:rsid w:val="0084192B"/>
    <w:rsid w:val="00855BE0"/>
    <w:rsid w:val="00856BF6"/>
    <w:rsid w:val="008A5BEA"/>
    <w:rsid w:val="008A749E"/>
    <w:rsid w:val="008B031B"/>
    <w:rsid w:val="008E3794"/>
    <w:rsid w:val="008F148A"/>
    <w:rsid w:val="00901925"/>
    <w:rsid w:val="00905B60"/>
    <w:rsid w:val="00907106"/>
    <w:rsid w:val="009115A0"/>
    <w:rsid w:val="00911DFF"/>
    <w:rsid w:val="009147AC"/>
    <w:rsid w:val="00933876"/>
    <w:rsid w:val="00942AA3"/>
    <w:rsid w:val="00945AE8"/>
    <w:rsid w:val="00952703"/>
    <w:rsid w:val="00960A84"/>
    <w:rsid w:val="00961BE5"/>
    <w:rsid w:val="0096434A"/>
    <w:rsid w:val="00976B8D"/>
    <w:rsid w:val="00980381"/>
    <w:rsid w:val="00994BB6"/>
    <w:rsid w:val="009A01A5"/>
    <w:rsid w:val="009E0296"/>
    <w:rsid w:val="009E6CEC"/>
    <w:rsid w:val="009F627A"/>
    <w:rsid w:val="00A010DC"/>
    <w:rsid w:val="00A11A36"/>
    <w:rsid w:val="00A207B5"/>
    <w:rsid w:val="00A305BA"/>
    <w:rsid w:val="00A353E1"/>
    <w:rsid w:val="00A421CF"/>
    <w:rsid w:val="00A607AB"/>
    <w:rsid w:val="00A701CE"/>
    <w:rsid w:val="00A72B06"/>
    <w:rsid w:val="00A72B0B"/>
    <w:rsid w:val="00A72CDB"/>
    <w:rsid w:val="00A81959"/>
    <w:rsid w:val="00A836E9"/>
    <w:rsid w:val="00A87E51"/>
    <w:rsid w:val="00A933DB"/>
    <w:rsid w:val="00AA3B4A"/>
    <w:rsid w:val="00AB1410"/>
    <w:rsid w:val="00AB3AAF"/>
    <w:rsid w:val="00AC423A"/>
    <w:rsid w:val="00AC51DC"/>
    <w:rsid w:val="00AD3881"/>
    <w:rsid w:val="00AE070F"/>
    <w:rsid w:val="00AE2EDF"/>
    <w:rsid w:val="00B01955"/>
    <w:rsid w:val="00B0727F"/>
    <w:rsid w:val="00B0738B"/>
    <w:rsid w:val="00B21716"/>
    <w:rsid w:val="00B378C7"/>
    <w:rsid w:val="00B438BD"/>
    <w:rsid w:val="00B5229D"/>
    <w:rsid w:val="00B65C78"/>
    <w:rsid w:val="00B72D2F"/>
    <w:rsid w:val="00B769C7"/>
    <w:rsid w:val="00B7744D"/>
    <w:rsid w:val="00BA47B2"/>
    <w:rsid w:val="00BA4BB8"/>
    <w:rsid w:val="00BA5B1E"/>
    <w:rsid w:val="00BB1840"/>
    <w:rsid w:val="00BC556F"/>
    <w:rsid w:val="00BD06E1"/>
    <w:rsid w:val="00BD7960"/>
    <w:rsid w:val="00BF0390"/>
    <w:rsid w:val="00BF2A17"/>
    <w:rsid w:val="00BF6A4B"/>
    <w:rsid w:val="00C02824"/>
    <w:rsid w:val="00C04528"/>
    <w:rsid w:val="00C05278"/>
    <w:rsid w:val="00C078DA"/>
    <w:rsid w:val="00C1566F"/>
    <w:rsid w:val="00C24364"/>
    <w:rsid w:val="00C3425D"/>
    <w:rsid w:val="00C426EA"/>
    <w:rsid w:val="00C42AF9"/>
    <w:rsid w:val="00C45F3F"/>
    <w:rsid w:val="00C47AC0"/>
    <w:rsid w:val="00C53233"/>
    <w:rsid w:val="00C66A52"/>
    <w:rsid w:val="00C7030A"/>
    <w:rsid w:val="00C84FA0"/>
    <w:rsid w:val="00C9773C"/>
    <w:rsid w:val="00CB401A"/>
    <w:rsid w:val="00CB4ECE"/>
    <w:rsid w:val="00CB6B36"/>
    <w:rsid w:val="00CB74AD"/>
    <w:rsid w:val="00CC2F56"/>
    <w:rsid w:val="00CD627C"/>
    <w:rsid w:val="00CE0BF4"/>
    <w:rsid w:val="00CE48F5"/>
    <w:rsid w:val="00CF3E72"/>
    <w:rsid w:val="00D04B1B"/>
    <w:rsid w:val="00D059CC"/>
    <w:rsid w:val="00D14780"/>
    <w:rsid w:val="00D1560D"/>
    <w:rsid w:val="00D216B9"/>
    <w:rsid w:val="00D63F73"/>
    <w:rsid w:val="00D76667"/>
    <w:rsid w:val="00D8196D"/>
    <w:rsid w:val="00DA2D84"/>
    <w:rsid w:val="00DA5E5E"/>
    <w:rsid w:val="00DA7C30"/>
    <w:rsid w:val="00DB257F"/>
    <w:rsid w:val="00DB2AF8"/>
    <w:rsid w:val="00DC413E"/>
    <w:rsid w:val="00DC7E1D"/>
    <w:rsid w:val="00DD5E87"/>
    <w:rsid w:val="00DE0A77"/>
    <w:rsid w:val="00DE19F1"/>
    <w:rsid w:val="00DE5F6B"/>
    <w:rsid w:val="00DE6FDD"/>
    <w:rsid w:val="00E0079F"/>
    <w:rsid w:val="00E17D44"/>
    <w:rsid w:val="00E32904"/>
    <w:rsid w:val="00E34A05"/>
    <w:rsid w:val="00E504C1"/>
    <w:rsid w:val="00E56DBD"/>
    <w:rsid w:val="00E647F3"/>
    <w:rsid w:val="00E704A8"/>
    <w:rsid w:val="00E73642"/>
    <w:rsid w:val="00E8489F"/>
    <w:rsid w:val="00E91FA6"/>
    <w:rsid w:val="00EC4175"/>
    <w:rsid w:val="00EC5B07"/>
    <w:rsid w:val="00ED6FBC"/>
    <w:rsid w:val="00EE10C1"/>
    <w:rsid w:val="00F12A71"/>
    <w:rsid w:val="00F20A85"/>
    <w:rsid w:val="00F21720"/>
    <w:rsid w:val="00F54B26"/>
    <w:rsid w:val="00F56151"/>
    <w:rsid w:val="00F56D72"/>
    <w:rsid w:val="00F61B31"/>
    <w:rsid w:val="00F63C86"/>
    <w:rsid w:val="00F77096"/>
    <w:rsid w:val="00F8375D"/>
    <w:rsid w:val="00F8523A"/>
    <w:rsid w:val="00F878E9"/>
    <w:rsid w:val="00F90A6F"/>
    <w:rsid w:val="00F91825"/>
    <w:rsid w:val="00FA7255"/>
    <w:rsid w:val="00FB4C10"/>
    <w:rsid w:val="00FB7B1D"/>
    <w:rsid w:val="00FC4089"/>
    <w:rsid w:val="00FC4749"/>
    <w:rsid w:val="00FD0069"/>
    <w:rsid w:val="00FE6B44"/>
    <w:rsid w:val="00FF2B51"/>
    <w:rsid w:val="00FF4154"/>
    <w:rsid w:val="00FF6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BB46"/>
  <w15:docId w15:val="{46F3B3C4-DB79-46A4-A05D-92ABCF8F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27F"/>
  </w:style>
  <w:style w:type="paragraph" w:styleId="Heading1">
    <w:name w:val="heading 1"/>
    <w:basedOn w:val="Normal1"/>
    <w:next w:val="Normal1"/>
    <w:rsid w:val="0054589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54589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54589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54589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54589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54589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45895"/>
  </w:style>
  <w:style w:type="paragraph" w:styleId="Title">
    <w:name w:val="Title"/>
    <w:basedOn w:val="Normal1"/>
    <w:next w:val="Normal1"/>
    <w:rsid w:val="0054589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545895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C40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089"/>
  </w:style>
  <w:style w:type="paragraph" w:styleId="Footer">
    <w:name w:val="footer"/>
    <w:basedOn w:val="Normal"/>
    <w:link w:val="FooterChar"/>
    <w:uiPriority w:val="99"/>
    <w:unhideWhenUsed/>
    <w:rsid w:val="00FC40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089"/>
  </w:style>
  <w:style w:type="character" w:customStyle="1" w:styleId="apple-converted-space">
    <w:name w:val="apple-converted-space"/>
    <w:basedOn w:val="DefaultParagraphFont"/>
    <w:rsid w:val="00C9773C"/>
  </w:style>
  <w:style w:type="paragraph" w:styleId="NoSpacing">
    <w:name w:val="No Spacing"/>
    <w:uiPriority w:val="99"/>
    <w:qFormat/>
    <w:rsid w:val="00C9773C"/>
    <w:pPr>
      <w:spacing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Akapit z listą BS,Outlines a.b.c.,List_Paragraph,Multilevel para_II,Akapit z lista BS,List Paragraph1,Normal bullet 2,lp11,Bullet list,Colorful List - Accent 11"/>
    <w:basedOn w:val="Normal"/>
    <w:link w:val="ListParagraphChar"/>
    <w:uiPriority w:val="34"/>
    <w:qFormat/>
    <w:rsid w:val="002D675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Emphasis">
    <w:name w:val="Emphasis"/>
    <w:basedOn w:val="DefaultParagraphFont"/>
    <w:uiPriority w:val="20"/>
    <w:qFormat/>
    <w:rsid w:val="002D675E"/>
    <w:rPr>
      <w:i/>
      <w:iCs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lp11 Char,Bullet list Char,Colorful List - Accent 11 Char"/>
    <w:link w:val="ListParagraph"/>
    <w:uiPriority w:val="34"/>
    <w:locked/>
    <w:rsid w:val="002D675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SubtleEmphasis">
    <w:name w:val="Subtle Emphasis"/>
    <w:uiPriority w:val="19"/>
    <w:qFormat/>
    <w:rsid w:val="002D675E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7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61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68557E"/>
    <w:pPr>
      <w:spacing w:line="240" w:lineRule="auto"/>
    </w:pPr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5204C0"/>
    <w:rPr>
      <w:rFonts w:ascii="Segoe UI" w:hAnsi="Segoe UI" w:cs="Segoe UI" w:hint="default"/>
      <w:shd w:val="clear" w:color="auto" w:fill="FFFFFF"/>
    </w:rPr>
  </w:style>
  <w:style w:type="character" w:customStyle="1" w:styleId="cf21">
    <w:name w:val="cf21"/>
    <w:basedOn w:val="DefaultParagraphFont"/>
    <w:rsid w:val="005204C0"/>
    <w:rPr>
      <w:rFonts w:ascii="Segoe UI" w:hAnsi="Segoe UI" w:cs="Segoe UI" w:hint="default"/>
      <w:b/>
      <w:bCs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C15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6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6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6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1246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lacramioara condea</dc:creator>
  <cp:lastModifiedBy>Carmen Proteasa</cp:lastModifiedBy>
  <cp:revision>3</cp:revision>
  <cp:lastPrinted>2023-03-22T08:01:00Z</cp:lastPrinted>
  <dcterms:created xsi:type="dcterms:W3CDTF">2023-03-22T07:52:00Z</dcterms:created>
  <dcterms:modified xsi:type="dcterms:W3CDTF">2023-03-22T08:52:00Z</dcterms:modified>
</cp:coreProperties>
</file>