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1" w:type="dxa"/>
        <w:jc w:val="center"/>
        <w:tblBorders>
          <w:bottom w:val="single" w:sz="4" w:space="0" w:color="auto"/>
        </w:tblBorders>
        <w:tblLayout w:type="fixed"/>
        <w:tblLook w:val="0000"/>
      </w:tblPr>
      <w:tblGrid>
        <w:gridCol w:w="5206"/>
        <w:gridCol w:w="3236"/>
        <w:gridCol w:w="1620"/>
        <w:gridCol w:w="9"/>
      </w:tblGrid>
      <w:tr w:rsidR="00662178" w:rsidRPr="00844697" w:rsidTr="00FC5279">
        <w:trPr>
          <w:gridAfter w:val="1"/>
          <w:wAfter w:w="9" w:type="dxa"/>
          <w:trHeight w:val="985"/>
          <w:jc w:val="center"/>
        </w:trPr>
        <w:tc>
          <w:tcPr>
            <w:tcW w:w="5206" w:type="dxa"/>
            <w:tcBorders>
              <w:bottom w:val="nil"/>
            </w:tcBorders>
          </w:tcPr>
          <w:p w:rsidR="00662178" w:rsidRPr="00844697" w:rsidRDefault="00662178" w:rsidP="007E373C">
            <w:pPr>
              <w:jc w:val="both"/>
            </w:pPr>
            <w:r w:rsidRPr="00844697">
              <w:t>ROMÂNIA</w:t>
            </w:r>
          </w:p>
          <w:p w:rsidR="00662178" w:rsidRPr="00844697" w:rsidRDefault="00662178" w:rsidP="007E373C">
            <w:pPr>
              <w:jc w:val="both"/>
            </w:pPr>
            <w:r w:rsidRPr="00844697">
              <w:t>JUDEŢUL  TIMIŞ</w:t>
            </w:r>
          </w:p>
          <w:p w:rsidR="00662178" w:rsidRPr="00844697" w:rsidRDefault="00662178" w:rsidP="007E373C">
            <w:pPr>
              <w:jc w:val="both"/>
            </w:pPr>
            <w:r w:rsidRPr="00844697">
              <w:t>MUNICIPIUL  TIMIŞOARA</w:t>
            </w:r>
          </w:p>
          <w:p w:rsidR="00662178" w:rsidRPr="00844697" w:rsidRDefault="00662178" w:rsidP="007E373C">
            <w:pPr>
              <w:jc w:val="both"/>
            </w:pPr>
            <w:r w:rsidRPr="00844697">
              <w:t>DIRECŢIA DE COMUNICARE</w:t>
            </w:r>
          </w:p>
          <w:p w:rsidR="00662178" w:rsidRPr="00844697" w:rsidRDefault="00662178" w:rsidP="007E373C">
            <w:pPr>
              <w:ind w:hanging="31"/>
              <w:jc w:val="both"/>
            </w:pPr>
            <w:r w:rsidRPr="00844697">
              <w:t>Biroul Organizare Evenimente</w:t>
            </w:r>
          </w:p>
          <w:p w:rsidR="00662178" w:rsidRPr="00844697" w:rsidRDefault="00662178" w:rsidP="007E373C">
            <w:pPr>
              <w:ind w:hanging="31"/>
              <w:jc w:val="both"/>
            </w:pPr>
            <w:r>
              <w:t>SC2014</w:t>
            </w:r>
            <w:r w:rsidRPr="00844697">
              <w:t xml:space="preserve">- </w:t>
            </w:r>
            <w:r w:rsidR="001F24F9">
              <w:t>016075-23.06</w:t>
            </w:r>
            <w:r w:rsidR="00FE437A">
              <w:t>.2013</w:t>
            </w:r>
          </w:p>
        </w:tc>
        <w:tc>
          <w:tcPr>
            <w:tcW w:w="3236" w:type="dxa"/>
            <w:tcBorders>
              <w:bottom w:val="nil"/>
            </w:tcBorders>
          </w:tcPr>
          <w:p w:rsidR="00662178" w:rsidRPr="00844697" w:rsidRDefault="00662178" w:rsidP="007E373C">
            <w:pPr>
              <w:jc w:val="both"/>
            </w:pPr>
          </w:p>
          <w:p w:rsidR="00662178" w:rsidRPr="00844697" w:rsidRDefault="00662178" w:rsidP="007E373C">
            <w:pPr>
              <w:jc w:val="both"/>
            </w:pPr>
            <w:r w:rsidRPr="00844697">
              <w:t>Aprobat Primar</w:t>
            </w:r>
          </w:p>
          <w:p w:rsidR="00662178" w:rsidRPr="00844697" w:rsidRDefault="00662178" w:rsidP="007E373C">
            <w:pPr>
              <w:jc w:val="both"/>
            </w:pPr>
            <w:r w:rsidRPr="00844697">
              <w:t>Nicolae Robu</w:t>
            </w:r>
          </w:p>
        </w:tc>
        <w:tc>
          <w:tcPr>
            <w:tcW w:w="1620" w:type="dxa"/>
            <w:tcBorders>
              <w:bottom w:val="nil"/>
            </w:tcBorders>
          </w:tcPr>
          <w:p w:rsidR="00662178" w:rsidRPr="00844697" w:rsidRDefault="00662178" w:rsidP="007E373C">
            <w:pPr>
              <w:jc w:val="both"/>
            </w:pPr>
            <w:r>
              <w:rPr>
                <w:noProof/>
                <w:lang w:val="en-US" w:eastAsia="en-US"/>
              </w:rPr>
              <w:drawing>
                <wp:inline distT="0" distB="0" distL="0" distR="0">
                  <wp:extent cx="621665" cy="804545"/>
                  <wp:effectExtent l="19050" t="0" r="698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665" cy="804545"/>
                          </a:xfrm>
                          <a:prstGeom prst="rect">
                            <a:avLst/>
                          </a:prstGeom>
                          <a:noFill/>
                          <a:ln w="9525">
                            <a:noFill/>
                            <a:miter lim="800000"/>
                            <a:headEnd/>
                            <a:tailEnd/>
                          </a:ln>
                        </pic:spPr>
                      </pic:pic>
                    </a:graphicData>
                  </a:graphic>
                </wp:inline>
              </w:drawing>
            </w:r>
          </w:p>
          <w:p w:rsidR="00662178" w:rsidRPr="00844697" w:rsidRDefault="00662178" w:rsidP="007E373C">
            <w:pPr>
              <w:jc w:val="both"/>
            </w:pPr>
          </w:p>
        </w:tc>
      </w:tr>
      <w:tr w:rsidR="00662178" w:rsidRPr="00844697" w:rsidTr="00FC5279">
        <w:trPr>
          <w:cantSplit/>
          <w:trHeight w:val="165"/>
          <w:jc w:val="center"/>
        </w:trPr>
        <w:tc>
          <w:tcPr>
            <w:tcW w:w="10071" w:type="dxa"/>
            <w:gridSpan w:val="4"/>
            <w:tcBorders>
              <w:top w:val="single" w:sz="4" w:space="0" w:color="auto"/>
              <w:bottom w:val="nil"/>
            </w:tcBorders>
          </w:tcPr>
          <w:p w:rsidR="00662178" w:rsidRPr="00844697" w:rsidRDefault="00662178" w:rsidP="007E373C">
            <w:pPr>
              <w:jc w:val="both"/>
              <w:rPr>
                <w:sz w:val="18"/>
                <w:szCs w:val="18"/>
              </w:rPr>
            </w:pPr>
            <w:r w:rsidRPr="00844697">
              <w:rPr>
                <w:i/>
                <w:sz w:val="18"/>
                <w:szCs w:val="18"/>
              </w:rPr>
              <w:t>Bd. C.D. Loga nr. 1, Timişoara, tel/fax: +40 256 -204886, e-mail: comunicare@primariatm.ro internet: www.primariatm.ro</w:t>
            </w:r>
          </w:p>
        </w:tc>
      </w:tr>
    </w:tbl>
    <w:p w:rsidR="00662178" w:rsidRPr="00844697" w:rsidRDefault="00662178" w:rsidP="007E373C">
      <w:pPr>
        <w:autoSpaceDE w:val="0"/>
        <w:autoSpaceDN w:val="0"/>
        <w:adjustRightInd w:val="0"/>
        <w:jc w:val="center"/>
        <w:rPr>
          <w:b/>
        </w:rPr>
      </w:pPr>
    </w:p>
    <w:p w:rsidR="00662178" w:rsidRDefault="00662178" w:rsidP="007E373C">
      <w:pPr>
        <w:autoSpaceDE w:val="0"/>
        <w:autoSpaceDN w:val="0"/>
        <w:adjustRightInd w:val="0"/>
        <w:jc w:val="center"/>
        <w:rPr>
          <w:b/>
        </w:rPr>
      </w:pPr>
    </w:p>
    <w:p w:rsidR="00535D11" w:rsidRPr="00844697" w:rsidRDefault="00535D11" w:rsidP="007E373C">
      <w:pPr>
        <w:autoSpaceDE w:val="0"/>
        <w:autoSpaceDN w:val="0"/>
        <w:adjustRightInd w:val="0"/>
        <w:jc w:val="center"/>
        <w:rPr>
          <w:b/>
        </w:rPr>
      </w:pPr>
    </w:p>
    <w:p w:rsidR="00662178" w:rsidRDefault="00662178" w:rsidP="007E373C">
      <w:pPr>
        <w:autoSpaceDE w:val="0"/>
        <w:autoSpaceDN w:val="0"/>
        <w:adjustRightInd w:val="0"/>
        <w:jc w:val="center"/>
        <w:rPr>
          <w:b/>
        </w:rPr>
      </w:pPr>
    </w:p>
    <w:p w:rsidR="00E2006B" w:rsidRDefault="00E2006B" w:rsidP="007E373C">
      <w:pPr>
        <w:autoSpaceDE w:val="0"/>
        <w:autoSpaceDN w:val="0"/>
        <w:adjustRightInd w:val="0"/>
        <w:jc w:val="center"/>
        <w:rPr>
          <w:b/>
        </w:rPr>
      </w:pPr>
    </w:p>
    <w:p w:rsidR="00E2006B" w:rsidRPr="00FF0015" w:rsidRDefault="00E2006B" w:rsidP="007E373C">
      <w:pPr>
        <w:autoSpaceDE w:val="0"/>
        <w:autoSpaceDN w:val="0"/>
        <w:adjustRightInd w:val="0"/>
        <w:jc w:val="center"/>
        <w:rPr>
          <w:b/>
        </w:rPr>
      </w:pPr>
    </w:p>
    <w:p w:rsidR="00662178" w:rsidRPr="00FF0015" w:rsidRDefault="00662178" w:rsidP="007E373C">
      <w:pPr>
        <w:autoSpaceDE w:val="0"/>
        <w:autoSpaceDN w:val="0"/>
        <w:adjustRightInd w:val="0"/>
        <w:jc w:val="center"/>
        <w:rPr>
          <w:b/>
        </w:rPr>
      </w:pPr>
      <w:r w:rsidRPr="00FF0015">
        <w:rPr>
          <w:b/>
        </w:rPr>
        <w:t>REFERAT</w:t>
      </w:r>
    </w:p>
    <w:p w:rsidR="00E2006B" w:rsidRDefault="00662178" w:rsidP="007E373C">
      <w:pPr>
        <w:pStyle w:val="Heading1"/>
        <w:rPr>
          <w:sz w:val="24"/>
          <w:szCs w:val="24"/>
        </w:rPr>
      </w:pPr>
      <w:r w:rsidRPr="00EA4783">
        <w:rPr>
          <w:sz w:val="24"/>
          <w:szCs w:val="24"/>
        </w:rPr>
        <w:t xml:space="preserve">Privind conferirea titlului de Cetăţean de Onoare al Municipiului Timişoara </w:t>
      </w:r>
    </w:p>
    <w:p w:rsidR="00662178" w:rsidRDefault="00662178" w:rsidP="006B2831">
      <w:pPr>
        <w:pStyle w:val="Heading1"/>
      </w:pPr>
      <w:r>
        <w:rPr>
          <w:sz w:val="24"/>
          <w:szCs w:val="24"/>
        </w:rPr>
        <w:t xml:space="preserve">domnului </w:t>
      </w:r>
      <w:r w:rsidR="006B2831">
        <w:rPr>
          <w:sz w:val="24"/>
          <w:szCs w:val="24"/>
        </w:rPr>
        <w:t>Paul Neagu</w:t>
      </w:r>
    </w:p>
    <w:p w:rsidR="00535D11" w:rsidRDefault="00535D11" w:rsidP="007E373C">
      <w:pPr>
        <w:pStyle w:val="NormalWeb"/>
        <w:spacing w:before="0" w:beforeAutospacing="0" w:after="0" w:afterAutospacing="0"/>
        <w:jc w:val="both"/>
      </w:pPr>
    </w:p>
    <w:p w:rsidR="00E2006B" w:rsidRDefault="00E2006B" w:rsidP="007E373C">
      <w:pPr>
        <w:pStyle w:val="NormalWeb"/>
        <w:spacing w:before="0" w:beforeAutospacing="0" w:after="0" w:afterAutospacing="0"/>
        <w:jc w:val="both"/>
      </w:pPr>
    </w:p>
    <w:p w:rsidR="00E2006B" w:rsidRDefault="00E2006B" w:rsidP="007E373C">
      <w:pPr>
        <w:pStyle w:val="NormalWeb"/>
        <w:spacing w:before="0" w:beforeAutospacing="0" w:after="0" w:afterAutospacing="0"/>
        <w:jc w:val="both"/>
      </w:pPr>
    </w:p>
    <w:p w:rsidR="00E2006B" w:rsidRDefault="00E2006B" w:rsidP="007E373C">
      <w:pPr>
        <w:pStyle w:val="NormalWeb"/>
        <w:spacing w:before="0" w:beforeAutospacing="0" w:after="0" w:afterAutospacing="0"/>
        <w:jc w:val="both"/>
      </w:pPr>
    </w:p>
    <w:p w:rsidR="00535D11" w:rsidRPr="00B6477D" w:rsidRDefault="00535D11" w:rsidP="007E373C">
      <w:pPr>
        <w:pStyle w:val="NormalWeb"/>
        <w:spacing w:before="0" w:beforeAutospacing="0" w:after="0" w:afterAutospacing="0"/>
        <w:jc w:val="both"/>
      </w:pPr>
    </w:p>
    <w:p w:rsidR="00662178" w:rsidRDefault="00837146" w:rsidP="006900B7">
      <w:pPr>
        <w:autoSpaceDE w:val="0"/>
        <w:autoSpaceDN w:val="0"/>
        <w:adjustRightInd w:val="0"/>
        <w:ind w:firstLine="708"/>
        <w:jc w:val="both"/>
      </w:pPr>
      <w:r>
        <w:t>Avand în vedere solicitarea cu numarul SC2014-</w:t>
      </w:r>
      <w:r w:rsidR="006B2831">
        <w:t>016075</w:t>
      </w:r>
      <w:r w:rsidR="00BA410B">
        <w:t>-</w:t>
      </w:r>
      <w:r w:rsidR="006B2831">
        <w:t xml:space="preserve"> 23.06</w:t>
      </w:r>
      <w:r>
        <w:t>.2014 d</w:t>
      </w:r>
      <w:r w:rsidR="00662178" w:rsidRPr="00B6477D">
        <w:t>in iniţiativa</w:t>
      </w:r>
      <w:r w:rsidR="006B2831">
        <w:t xml:space="preserve"> Fundaţiei TRIADE</w:t>
      </w:r>
      <w:r w:rsidR="001F24F9">
        <w:t xml:space="preserve"> din Timişoara</w:t>
      </w:r>
      <w:r w:rsidR="006900B7">
        <w:t xml:space="preserve">, </w:t>
      </w:r>
      <w:r w:rsidR="006900B7" w:rsidRPr="00B6477D">
        <w:t>a fost propus pentru acordarea titlulu</w:t>
      </w:r>
      <w:r w:rsidR="006900B7">
        <w:t>i de Cetăţean de Onoare domnul Paul Neagu</w:t>
      </w:r>
      <w:r w:rsidR="006900B7" w:rsidRPr="00B6477D">
        <w:t>.</w:t>
      </w:r>
    </w:p>
    <w:p w:rsidR="006900B7" w:rsidRPr="00B6477D" w:rsidRDefault="006900B7" w:rsidP="006900B7">
      <w:pPr>
        <w:autoSpaceDE w:val="0"/>
        <w:autoSpaceDN w:val="0"/>
        <w:adjustRightInd w:val="0"/>
        <w:ind w:firstLine="708"/>
        <w:jc w:val="both"/>
      </w:pPr>
    </w:p>
    <w:p w:rsidR="006900B7" w:rsidRDefault="006B2831" w:rsidP="006900B7">
      <w:pPr>
        <w:jc w:val="both"/>
      </w:pPr>
      <w:r w:rsidRPr="006B2831">
        <w:rPr>
          <w:b/>
        </w:rPr>
        <w:t>Paul NEAGU</w:t>
      </w:r>
      <w:r w:rsidRPr="006B2831">
        <w:t xml:space="preserve">  s­a născut la Bucureşti, în anul1938, fiind cel de­al doilea fiu dintre cei şase copii ai Rozaliei şi ai lui Tudor Neagu. S-a stabilit în anul 1947 la Timişoara, oraşul de pe Bega rămânând  locul său de suflet, locul primilor ani ai tinereţii, locul unde îşi regăsea întreaga familie de fiecare dată când, mai târziu, revenea în ţară.</w:t>
      </w:r>
    </w:p>
    <w:p w:rsidR="006900B7" w:rsidRDefault="006900B7" w:rsidP="006900B7">
      <w:pPr>
        <w:jc w:val="both"/>
      </w:pPr>
    </w:p>
    <w:p w:rsidR="006900B7" w:rsidRDefault="006900B7" w:rsidP="006900B7">
      <w:pPr>
        <w:jc w:val="both"/>
        <w:rPr>
          <w:rFonts w:ascii="Helvetica" w:hAnsi="Helvetica"/>
        </w:rPr>
      </w:pPr>
      <w:r w:rsidRPr="006B2831">
        <w:t xml:space="preserve"> </w:t>
      </w:r>
      <w:r w:rsidR="006B2831" w:rsidRPr="006B2831">
        <w:t>A urmat liceul la Timişoara  (absolvit în 1954).  După terminarea liceului, datorită problemelor materiale, este nevoit să muncească; paralel însă, ia primele ore particulare de desen cu pictorul Podlipny. În 1959 este admis la Institutul de Arte Plastice Nicolae Grigorescu din Bucureşti, pe care îl absolvă în 1965</w:t>
      </w:r>
      <w:r w:rsidR="006B2831">
        <w:rPr>
          <w:rFonts w:ascii="Helvetica" w:hAnsi="Helvetica"/>
        </w:rPr>
        <w:t>.</w:t>
      </w:r>
    </w:p>
    <w:p w:rsidR="006900B7" w:rsidRDefault="006B2831" w:rsidP="006900B7">
      <w:pPr>
        <w:jc w:val="both"/>
      </w:pPr>
      <w:r w:rsidRPr="006B2831">
        <w:t>Vremurile - în ciuda simulacrului de liberalizare pe care regimul de atunci încerca să­l promoveze - nu sunt resimţite de Paul Neagu ca fiind propice pentru a­şi promova concepţiile sale artistice, astfel încât, în 1969, se stabileşte la Londra. Pentru recunoaşterea viziunii sale, artistul a avut nevoie de ani buni de trudă, de căutări şi frământări care să­i înlesnească drumul spre recunoaştere</w:t>
      </w:r>
      <w:r>
        <w:t>.</w:t>
      </w:r>
    </w:p>
    <w:p w:rsidR="006900B7" w:rsidRDefault="006900B7" w:rsidP="006900B7">
      <w:pPr>
        <w:jc w:val="both"/>
        <w:rPr>
          <w:rFonts w:ascii="Helvetica" w:hAnsi="Helvetica"/>
        </w:rPr>
      </w:pPr>
    </w:p>
    <w:p w:rsidR="006900B7" w:rsidRDefault="006B2831" w:rsidP="006900B7">
      <w:pPr>
        <w:jc w:val="both"/>
        <w:rPr>
          <w:rFonts w:ascii="Helvetica" w:hAnsi="Helvetica"/>
        </w:rPr>
      </w:pPr>
      <w:r w:rsidRPr="006B2831">
        <w:t xml:space="preserve">Între 1972 şi 1990, Paul Neagu desfăşoară şi o bogată </w:t>
      </w:r>
      <w:r w:rsidRPr="006B2831">
        <w:rPr>
          <w:b/>
        </w:rPr>
        <w:t>activitate didactică.</w:t>
      </w:r>
      <w:r w:rsidRPr="006B2831">
        <w:t xml:space="preserve"> A predat la Chelsea School of Art (1975-1981), la Royal College of Art (1976-1986) şi la Universitatea „Concordia” din Montreal, Canada (1982-1983), exercitând o mare influenţă asupra generaţiilor de sculptori britanici şi europeni. A educat câteva dintre elitele sculpturii britanice din ultimele decenii, cum ar fi Anish Kapoor, Tony Cragg, Richard Deacon, Anthony Gormley şi Rachel Whiteread</w:t>
      </w:r>
      <w:r w:rsidRPr="00B65F68">
        <w:rPr>
          <w:rFonts w:ascii="Helvetica" w:hAnsi="Helvetica"/>
        </w:rPr>
        <w:t>.</w:t>
      </w:r>
    </w:p>
    <w:p w:rsidR="006900B7" w:rsidRDefault="006B2831" w:rsidP="006900B7">
      <w:pPr>
        <w:jc w:val="both"/>
      </w:pPr>
      <w:r w:rsidRPr="006B2831">
        <w:t xml:space="preserve">Între anii 1969 – 2000, Paul Neagu a vernisat peste cincizeci de </w:t>
      </w:r>
      <w:r w:rsidRPr="006B2831">
        <w:rPr>
          <w:b/>
        </w:rPr>
        <w:t>expoziţii personale</w:t>
      </w:r>
      <w:r w:rsidRPr="006B2831">
        <w:t xml:space="preserve"> în România, Anglia (26), Germania (2), Elveţia (2), SUA (2), Irlanda (2), Japonia (4), Canada (1), Scoţia (1), Italia (2) etc.</w:t>
      </w:r>
    </w:p>
    <w:p w:rsidR="006900B7" w:rsidRDefault="006900B7" w:rsidP="006900B7">
      <w:pPr>
        <w:jc w:val="both"/>
        <w:rPr>
          <w:rFonts w:ascii="Helvetica" w:hAnsi="Helvetica"/>
        </w:rPr>
      </w:pPr>
    </w:p>
    <w:p w:rsidR="006900B7" w:rsidRDefault="006B2831" w:rsidP="006900B7">
      <w:pPr>
        <w:jc w:val="both"/>
        <w:rPr>
          <w:rFonts w:ascii="Helvetica" w:hAnsi="Helvetica"/>
        </w:rPr>
      </w:pPr>
      <w:r w:rsidRPr="006B2831">
        <w:t xml:space="preserve">A participat de asemenea la peste patruzeci de </w:t>
      </w:r>
      <w:r w:rsidRPr="006B2831">
        <w:rPr>
          <w:b/>
        </w:rPr>
        <w:t>expoziţii în grup</w:t>
      </w:r>
      <w:r w:rsidRPr="006B2831">
        <w:t>, organizate în Marea Britanie, Franţa, Japonia, Slovenia, Statele Unite (inclusiv Alaska), Scoţia, Iugoslavia, România, Italia, Germania, Polonia, Ungaria.</w:t>
      </w:r>
    </w:p>
    <w:p w:rsidR="006900B7" w:rsidRDefault="006B2831" w:rsidP="006900B7">
      <w:pPr>
        <w:jc w:val="both"/>
      </w:pPr>
      <w:r w:rsidRPr="006B2831">
        <w:t xml:space="preserve">Pentru creaţia sa, i s-au acordat numeroase </w:t>
      </w:r>
      <w:r w:rsidRPr="006B2831">
        <w:rPr>
          <w:b/>
        </w:rPr>
        <w:t xml:space="preserve">premii: </w:t>
      </w:r>
      <w:r w:rsidRPr="006B2831">
        <w:t xml:space="preserve"> premiul „Tony Cobbeld” (1976), premiul Consiliului Artelor din Marea Britanie (1973 şi 1978) şi a fost decorat de Guvernul </w:t>
      </w:r>
      <w:r w:rsidRPr="006B2831">
        <w:lastRenderedPageBreak/>
        <w:t>Japoniei (1996). A fost bursier al Arts Council (U.K. - 1975) şi al The Pollock-Krasner Foundation (U.S.A. – 1990, 1991 şi 2004).</w:t>
      </w:r>
    </w:p>
    <w:p w:rsidR="006900B7" w:rsidRDefault="006900B7" w:rsidP="006900B7">
      <w:pPr>
        <w:jc w:val="both"/>
        <w:rPr>
          <w:rFonts w:ascii="Helvetica" w:hAnsi="Helvetica"/>
        </w:rPr>
      </w:pPr>
    </w:p>
    <w:p w:rsidR="006900B7" w:rsidRDefault="006B2831" w:rsidP="006900B7">
      <w:pPr>
        <w:jc w:val="both"/>
      </w:pPr>
      <w:r w:rsidRPr="006B2831">
        <w:t xml:space="preserve">În România, pe lângă lucrările ce se găsesc în patrimoniul muzeelor, la Bucureşti, în Piaţa Charles de Gaulle (fostă Piaţa Aviatorilor), a fost dezvelit în anul 1997 monumentul </w:t>
      </w:r>
      <w:r w:rsidRPr="006B2831">
        <w:rPr>
          <w:b/>
        </w:rPr>
        <w:t>Crucea  Secolului</w:t>
      </w:r>
      <w:r w:rsidRPr="006B2831">
        <w:t xml:space="preserve">,  sculptură din bronz cu dimensiunile de 6 m diametru şi 60 cm grosime, iar în  22 decembrie 1999, în Piaţa Victoriei din Timişoara, a fost ridicată sculptura monumentală </w:t>
      </w:r>
      <w:r w:rsidRPr="006B2831">
        <w:rPr>
          <w:b/>
        </w:rPr>
        <w:t>Crucificare</w:t>
      </w:r>
      <w:r w:rsidRPr="006B2831">
        <w:t>. Ea este, peste ani, moştenirea lăsa</w:t>
      </w:r>
      <w:r w:rsidR="006900B7">
        <w:t>tă de Paul Neagu celor de acasă.</w:t>
      </w:r>
    </w:p>
    <w:p w:rsidR="006900B7" w:rsidRDefault="006900B7" w:rsidP="006900B7">
      <w:pPr>
        <w:jc w:val="both"/>
        <w:rPr>
          <w:rFonts w:ascii="Helvetica" w:hAnsi="Helvetica"/>
        </w:rPr>
      </w:pPr>
    </w:p>
    <w:p w:rsidR="00DF38C2" w:rsidRPr="006900B7" w:rsidRDefault="006B2831" w:rsidP="006900B7">
      <w:pPr>
        <w:jc w:val="both"/>
        <w:rPr>
          <w:rFonts w:ascii="Helvetica" w:hAnsi="Helvetica"/>
        </w:rPr>
      </w:pPr>
      <w:r w:rsidRPr="006B2831">
        <w:t xml:space="preserve">Paul NEAGU  este considerat de critică drept un „un inovator, aflat pe filiaţia Brâncuşi, Malevici, Gabo, mereu în căutare de noi forme de expresie şi de noi concepţii despre artă. Există la el o nerăbdare, o voinţă de acţiune şi de afirmare, un spirit de aventură care îi deschid  calea către toate cutezanţele: de la cele ale sculpturilor comestibile, ale sculpturilor palpabile, ale ciclurilor </w:t>
      </w:r>
      <w:r w:rsidRPr="006B2831">
        <w:rPr>
          <w:i/>
        </w:rPr>
        <w:t>Anthropocosmos</w:t>
      </w:r>
      <w:r w:rsidRPr="006B2831">
        <w:t xml:space="preserve"> şi </w:t>
      </w:r>
      <w:r w:rsidRPr="006B2831">
        <w:rPr>
          <w:i/>
        </w:rPr>
        <w:t>Hyphen</w:t>
      </w:r>
      <w:r w:rsidRPr="006B2831">
        <w:t xml:space="preserve">, până la cel cu aspiraţii cosmice, al </w:t>
      </w:r>
      <w:r w:rsidRPr="006B2831">
        <w:rPr>
          <w:i/>
        </w:rPr>
        <w:t>Stelelor</w:t>
      </w:r>
      <w:r w:rsidRPr="006B2831">
        <w:t>...” (</w:t>
      </w:r>
      <w:r w:rsidRPr="006B2831">
        <w:rPr>
          <w:i/>
        </w:rPr>
        <w:t>Dicţionar de Artă Contemporană</w:t>
      </w:r>
      <w:r w:rsidRPr="006B2831">
        <w:t>).</w:t>
      </w:r>
      <w:bookmarkStart w:id="0" w:name="_GoBack"/>
      <w:bookmarkEnd w:id="0"/>
    </w:p>
    <w:p w:rsidR="00455BE3" w:rsidRPr="00B6477D" w:rsidRDefault="00455BE3" w:rsidP="00DF38C2">
      <w:pPr>
        <w:spacing w:line="276" w:lineRule="auto"/>
        <w:ind w:firstLine="708"/>
        <w:jc w:val="both"/>
      </w:pPr>
    </w:p>
    <w:p w:rsidR="00662178" w:rsidRPr="00B6477D" w:rsidRDefault="00662178" w:rsidP="006900B7">
      <w:pPr>
        <w:ind w:firstLine="708"/>
        <w:jc w:val="both"/>
      </w:pPr>
      <w:r w:rsidRPr="00B6477D">
        <w:t xml:space="preserve">Prin urmare propunem acordarea titlului de Cetăţean de Onoare al municipiului Timişoara domnului </w:t>
      </w:r>
      <w:r w:rsidR="00345B5C">
        <w:t>Paul Neagu</w:t>
      </w:r>
      <w:r w:rsidRPr="00B6477D">
        <w:t>, pentru vasta sa activitate ce a condus la promovarea municipiului Timişoara.</w:t>
      </w:r>
    </w:p>
    <w:p w:rsidR="00662178" w:rsidRDefault="00662178" w:rsidP="00DF38C2">
      <w:pPr>
        <w:pStyle w:val="NormalWeb"/>
        <w:spacing w:before="0" w:beforeAutospacing="0" w:after="0" w:afterAutospacing="0" w:line="276" w:lineRule="auto"/>
        <w:jc w:val="both"/>
      </w:pPr>
    </w:p>
    <w:p w:rsidR="005F5180" w:rsidRDefault="005F5180" w:rsidP="00DF38C2">
      <w:pPr>
        <w:pStyle w:val="NormalWeb"/>
        <w:spacing w:before="0" w:beforeAutospacing="0" w:after="0" w:afterAutospacing="0" w:line="276" w:lineRule="auto"/>
        <w:jc w:val="both"/>
      </w:pPr>
    </w:p>
    <w:p w:rsidR="005F5180" w:rsidRDefault="005F5180" w:rsidP="00DF38C2">
      <w:pPr>
        <w:pStyle w:val="NormalWeb"/>
        <w:spacing w:before="0" w:beforeAutospacing="0" w:after="0" w:afterAutospacing="0" w:line="276" w:lineRule="auto"/>
        <w:jc w:val="both"/>
      </w:pPr>
    </w:p>
    <w:p w:rsidR="005F5180" w:rsidRPr="00B6477D" w:rsidRDefault="005F5180" w:rsidP="00DF38C2">
      <w:pPr>
        <w:pStyle w:val="NormalWeb"/>
        <w:spacing w:before="0" w:beforeAutospacing="0" w:after="0" w:afterAutospacing="0" w:line="276" w:lineRule="auto"/>
        <w:jc w:val="both"/>
      </w:pPr>
    </w:p>
    <w:p w:rsidR="00662178" w:rsidRPr="005F5180" w:rsidRDefault="00662178" w:rsidP="005F5180">
      <w:pPr>
        <w:pStyle w:val="Default"/>
        <w:rPr>
          <w:rFonts w:ascii="Times New Roman" w:hAnsi="Times New Roman" w:cs="Times New Roman"/>
          <w:lang w:val="ro-RO"/>
        </w:rPr>
      </w:pPr>
      <w:r w:rsidRPr="005F5180">
        <w:rPr>
          <w:rFonts w:ascii="Times New Roman" w:hAnsi="Times New Roman" w:cs="Times New Roman"/>
          <w:lang w:val="ro-RO"/>
        </w:rPr>
        <w:t>Viceprimar</w:t>
      </w:r>
      <w:r w:rsidR="0002055D">
        <w:rPr>
          <w:rFonts w:ascii="Times New Roman" w:hAnsi="Times New Roman" w:cs="Times New Roman"/>
          <w:lang w:val="ro-RO"/>
        </w:rPr>
        <w:t>,</w:t>
      </w:r>
      <w:r w:rsidR="00DF38C2" w:rsidRPr="005F5180">
        <w:rPr>
          <w:rFonts w:ascii="Times New Roman" w:hAnsi="Times New Roman" w:cs="Times New Roman"/>
          <w:lang w:val="ro-RO"/>
        </w:rPr>
        <w:t xml:space="preserve">                                                                                               </w:t>
      </w:r>
      <w:r w:rsidR="003C4DD9">
        <w:rPr>
          <w:rFonts w:ascii="Times New Roman" w:hAnsi="Times New Roman" w:cs="Times New Roman"/>
          <w:lang w:val="ro-RO"/>
        </w:rPr>
        <w:t xml:space="preserve">p. </w:t>
      </w:r>
      <w:r w:rsidR="00DF38C2" w:rsidRPr="005F5180">
        <w:rPr>
          <w:rFonts w:ascii="Times New Roman" w:hAnsi="Times New Roman" w:cs="Times New Roman"/>
          <w:lang w:val="ro-RO"/>
        </w:rPr>
        <w:t>Secretar</w:t>
      </w:r>
      <w:r w:rsidR="0002055D">
        <w:rPr>
          <w:rFonts w:ascii="Times New Roman" w:hAnsi="Times New Roman" w:cs="Times New Roman"/>
          <w:lang w:val="ro-RO"/>
        </w:rPr>
        <w:t>,</w:t>
      </w:r>
    </w:p>
    <w:p w:rsidR="00662178" w:rsidRPr="005F5180" w:rsidRDefault="00662178" w:rsidP="005F5180">
      <w:pPr>
        <w:pStyle w:val="Default"/>
        <w:rPr>
          <w:rFonts w:ascii="Times New Roman" w:hAnsi="Times New Roman" w:cs="Times New Roman"/>
          <w:lang w:val="ro-RO"/>
        </w:rPr>
      </w:pPr>
      <w:r w:rsidRPr="005F5180">
        <w:rPr>
          <w:rFonts w:ascii="Times New Roman" w:hAnsi="Times New Roman" w:cs="Times New Roman"/>
          <w:lang w:val="ro-RO"/>
        </w:rPr>
        <w:t>Dan Diaconu</w:t>
      </w:r>
      <w:r w:rsidR="0002055D">
        <w:rPr>
          <w:rFonts w:ascii="Times New Roman" w:hAnsi="Times New Roman" w:cs="Times New Roman"/>
          <w:lang w:val="ro-RO"/>
        </w:rPr>
        <w:t xml:space="preserve">                                                                                            Simona Drăgoi</w:t>
      </w:r>
    </w:p>
    <w:p w:rsidR="00662178" w:rsidRPr="005F5180" w:rsidRDefault="00662178" w:rsidP="005F5180">
      <w:pPr>
        <w:autoSpaceDE w:val="0"/>
        <w:autoSpaceDN w:val="0"/>
        <w:adjustRightInd w:val="0"/>
        <w:jc w:val="both"/>
      </w:pPr>
    </w:p>
    <w:p w:rsidR="00662178" w:rsidRDefault="00662178" w:rsidP="005F5180">
      <w:pPr>
        <w:autoSpaceDE w:val="0"/>
        <w:autoSpaceDN w:val="0"/>
        <w:adjustRightInd w:val="0"/>
        <w:ind w:firstLine="708"/>
        <w:jc w:val="both"/>
        <w:rPr>
          <w:b/>
        </w:rPr>
      </w:pPr>
    </w:p>
    <w:p w:rsidR="005F5180" w:rsidRDefault="005F5180" w:rsidP="005F5180">
      <w:pPr>
        <w:autoSpaceDE w:val="0"/>
        <w:autoSpaceDN w:val="0"/>
        <w:adjustRightInd w:val="0"/>
        <w:ind w:firstLine="708"/>
        <w:jc w:val="both"/>
        <w:rPr>
          <w:b/>
        </w:rPr>
      </w:pPr>
    </w:p>
    <w:p w:rsidR="005F5180" w:rsidRDefault="005F5180" w:rsidP="005F5180">
      <w:pPr>
        <w:autoSpaceDE w:val="0"/>
        <w:autoSpaceDN w:val="0"/>
        <w:adjustRightInd w:val="0"/>
        <w:ind w:firstLine="708"/>
        <w:jc w:val="both"/>
        <w:rPr>
          <w:b/>
        </w:rPr>
      </w:pPr>
    </w:p>
    <w:p w:rsidR="005F5180" w:rsidRDefault="005F5180" w:rsidP="005F5180">
      <w:pPr>
        <w:autoSpaceDE w:val="0"/>
        <w:autoSpaceDN w:val="0"/>
        <w:adjustRightInd w:val="0"/>
        <w:ind w:firstLine="708"/>
        <w:jc w:val="both"/>
        <w:rPr>
          <w:b/>
        </w:rPr>
      </w:pPr>
    </w:p>
    <w:p w:rsidR="00712BBA" w:rsidRPr="005F5180" w:rsidRDefault="00712BBA" w:rsidP="00712BBA">
      <w:pPr>
        <w:jc w:val="both"/>
      </w:pPr>
      <w:r w:rsidRPr="005F5180">
        <w:t>Director</w:t>
      </w:r>
      <w:r w:rsidR="00C75D8E">
        <w:t>,</w:t>
      </w:r>
      <w:r w:rsidRPr="005F5180">
        <w:t xml:space="preserve">                                                                                                 </w:t>
      </w:r>
    </w:p>
    <w:p w:rsidR="00712BBA" w:rsidRPr="005F5180" w:rsidRDefault="00712BBA" w:rsidP="00712BBA">
      <w:pPr>
        <w:jc w:val="both"/>
      </w:pPr>
      <w:r w:rsidRPr="005F5180">
        <w:t>Direcţia Comunicare</w:t>
      </w:r>
    </w:p>
    <w:p w:rsidR="00662178" w:rsidRPr="005F5180" w:rsidRDefault="00662178" w:rsidP="005F5180">
      <w:pPr>
        <w:pStyle w:val="Heading1"/>
        <w:jc w:val="both"/>
        <w:rPr>
          <w:b w:val="0"/>
          <w:sz w:val="24"/>
          <w:szCs w:val="24"/>
        </w:rPr>
      </w:pPr>
      <w:r w:rsidRPr="005F5180">
        <w:rPr>
          <w:b w:val="0"/>
          <w:sz w:val="24"/>
          <w:szCs w:val="24"/>
        </w:rPr>
        <w:t xml:space="preserve">Alina Pintilie </w:t>
      </w:r>
      <w:r w:rsidRPr="005F5180">
        <w:rPr>
          <w:b w:val="0"/>
          <w:sz w:val="24"/>
          <w:szCs w:val="24"/>
        </w:rPr>
        <w:tab/>
        <w:t xml:space="preserve">                                                                                                           </w:t>
      </w:r>
    </w:p>
    <w:p w:rsidR="00662178" w:rsidRPr="005F5180" w:rsidRDefault="00662178" w:rsidP="005F5180">
      <w:pPr>
        <w:jc w:val="both"/>
      </w:pPr>
    </w:p>
    <w:p w:rsidR="00662178" w:rsidRDefault="00662178" w:rsidP="005F5180">
      <w:pPr>
        <w:jc w:val="both"/>
      </w:pPr>
    </w:p>
    <w:p w:rsidR="005F5180" w:rsidRDefault="005F5180" w:rsidP="005F5180">
      <w:pPr>
        <w:jc w:val="both"/>
      </w:pPr>
    </w:p>
    <w:p w:rsidR="005F5180" w:rsidRDefault="005F5180" w:rsidP="005F5180">
      <w:pPr>
        <w:jc w:val="both"/>
      </w:pPr>
    </w:p>
    <w:p w:rsidR="00712BBA" w:rsidRPr="005F5180" w:rsidRDefault="00712BBA" w:rsidP="00712BBA">
      <w:pPr>
        <w:jc w:val="both"/>
      </w:pPr>
      <w:r w:rsidRPr="005F5180">
        <w:t>Consilier</w:t>
      </w:r>
      <w:r w:rsidR="00C75D8E">
        <w:t>,</w:t>
      </w:r>
    </w:p>
    <w:p w:rsidR="00662178" w:rsidRPr="005F5180" w:rsidRDefault="00864D6F" w:rsidP="005F5180">
      <w:pPr>
        <w:jc w:val="both"/>
      </w:pPr>
      <w:r>
        <w:t>Monica Sava</w:t>
      </w:r>
    </w:p>
    <w:p w:rsidR="00662178" w:rsidRDefault="00662178" w:rsidP="005F5180">
      <w:pPr>
        <w:pStyle w:val="NormalWeb"/>
        <w:spacing w:before="0" w:beforeAutospacing="0" w:after="0" w:afterAutospacing="0"/>
        <w:jc w:val="both"/>
      </w:pPr>
    </w:p>
    <w:p w:rsidR="005F5180" w:rsidRDefault="005F5180" w:rsidP="005F5180">
      <w:pPr>
        <w:pStyle w:val="NormalWeb"/>
        <w:spacing w:before="0" w:beforeAutospacing="0" w:after="0" w:afterAutospacing="0"/>
        <w:jc w:val="both"/>
      </w:pPr>
    </w:p>
    <w:p w:rsidR="005F5180" w:rsidRDefault="005F5180" w:rsidP="005F5180">
      <w:pPr>
        <w:pStyle w:val="NormalWeb"/>
        <w:spacing w:before="0" w:beforeAutospacing="0" w:after="0" w:afterAutospacing="0"/>
        <w:jc w:val="both"/>
      </w:pPr>
    </w:p>
    <w:p w:rsidR="005F5180" w:rsidRPr="005F5180" w:rsidRDefault="005F5180" w:rsidP="005F5180">
      <w:pPr>
        <w:pStyle w:val="NormalWeb"/>
        <w:spacing w:before="0" w:beforeAutospacing="0" w:after="0" w:afterAutospacing="0"/>
        <w:jc w:val="both"/>
      </w:pPr>
    </w:p>
    <w:p w:rsidR="00B22CFE" w:rsidRDefault="00DF38C2" w:rsidP="00DF38C2">
      <w:pPr>
        <w:spacing w:line="276" w:lineRule="auto"/>
        <w:jc w:val="center"/>
      </w:pPr>
      <w:r w:rsidRPr="00B6477D">
        <w:t>Avizat</w:t>
      </w:r>
      <w:r>
        <w:t xml:space="preserve"> </w:t>
      </w:r>
      <w:r w:rsidRPr="00B6477D">
        <w:t>juridic</w:t>
      </w:r>
    </w:p>
    <w:sectPr w:rsidR="00B22CFE" w:rsidSect="00DF38C2">
      <w:footerReference w:type="default" r:id="rId8"/>
      <w:pgSz w:w="11906" w:h="16838"/>
      <w:pgMar w:top="720" w:right="1416" w:bottom="720"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F81" w:rsidRDefault="00B35F81" w:rsidP="00E1490F">
      <w:r>
        <w:separator/>
      </w:r>
    </w:p>
  </w:endnote>
  <w:endnote w:type="continuationSeparator" w:id="0">
    <w:p w:rsidR="00B35F81" w:rsidRDefault="00B35F81" w:rsidP="00E149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80" w:rsidRPr="00BC3F67" w:rsidRDefault="00454A4E" w:rsidP="005F5180">
    <w:pPr>
      <w:rPr>
        <w:sz w:val="18"/>
        <w:szCs w:val="18"/>
      </w:rPr>
    </w:pPr>
    <w:r w:rsidRPr="00136408">
      <w:rPr>
        <w:sz w:val="16"/>
        <w:szCs w:val="16"/>
      </w:rPr>
      <w:t>Red.A.M</w:t>
    </w:r>
    <w:r w:rsidR="005F5180" w:rsidRPr="00136408">
      <w:rPr>
        <w:sz w:val="16"/>
        <w:szCs w:val="16"/>
      </w:rPr>
      <w:t>.</w:t>
    </w:r>
    <w:r w:rsidRPr="00136408">
      <w:rPr>
        <w:sz w:val="16"/>
        <w:szCs w:val="16"/>
      </w:rPr>
      <w:t>A</w:t>
    </w:r>
    <w:r w:rsidR="005F5180" w:rsidRPr="00136408">
      <w:rPr>
        <w:sz w:val="16"/>
        <w:szCs w:val="16"/>
      </w:rPr>
      <w:t xml:space="preserve">                         </w:t>
    </w:r>
    <w:r w:rsidR="00BC3F67" w:rsidRPr="00136408">
      <w:rPr>
        <w:sz w:val="16"/>
        <w:szCs w:val="16"/>
      </w:rPr>
      <w:t xml:space="preserve">                    </w:t>
    </w:r>
    <w:r w:rsidR="005F5180" w:rsidRPr="00136408">
      <w:rPr>
        <w:sz w:val="16"/>
        <w:szCs w:val="16"/>
      </w:rPr>
      <w:t xml:space="preserve">                                                                </w:t>
    </w:r>
    <w:r w:rsidR="005F5180" w:rsidRPr="00136408">
      <w:rPr>
        <w:sz w:val="18"/>
        <w:szCs w:val="18"/>
      </w:rPr>
      <w:t xml:space="preserve">                                      </w:t>
    </w:r>
    <w:r w:rsidR="005F5180" w:rsidRPr="00BC3F67">
      <w:rPr>
        <w:sz w:val="18"/>
        <w:szCs w:val="18"/>
      </w:rPr>
      <w:t xml:space="preserve">Cod  </w:t>
    </w:r>
    <w:r w:rsidR="005F5180" w:rsidRPr="00BC3F67">
      <w:rPr>
        <w:bCs/>
        <w:color w:val="000000"/>
        <w:sz w:val="18"/>
        <w:szCs w:val="18"/>
        <w:lang w:val="it-IT"/>
      </w:rPr>
      <w:t>FO 53-01,ver.2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F81" w:rsidRDefault="00B35F81" w:rsidP="00E1490F">
      <w:r>
        <w:separator/>
      </w:r>
    </w:p>
  </w:footnote>
  <w:footnote w:type="continuationSeparator" w:id="0">
    <w:p w:rsidR="00B35F81" w:rsidRDefault="00B35F81" w:rsidP="00E149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662178"/>
    <w:rsid w:val="0002055D"/>
    <w:rsid w:val="00021389"/>
    <w:rsid w:val="000B6F60"/>
    <w:rsid w:val="000C6EE4"/>
    <w:rsid w:val="000F044D"/>
    <w:rsid w:val="00100527"/>
    <w:rsid w:val="00107284"/>
    <w:rsid w:val="00133769"/>
    <w:rsid w:val="00136408"/>
    <w:rsid w:val="00145B54"/>
    <w:rsid w:val="00192A8E"/>
    <w:rsid w:val="001F24F9"/>
    <w:rsid w:val="0023570D"/>
    <w:rsid w:val="00301873"/>
    <w:rsid w:val="003425A4"/>
    <w:rsid w:val="00345B5C"/>
    <w:rsid w:val="003517E3"/>
    <w:rsid w:val="0036362D"/>
    <w:rsid w:val="00390A03"/>
    <w:rsid w:val="003C4DD9"/>
    <w:rsid w:val="00454A4E"/>
    <w:rsid w:val="00455BE3"/>
    <w:rsid w:val="00520AEF"/>
    <w:rsid w:val="00535D11"/>
    <w:rsid w:val="005A4C32"/>
    <w:rsid w:val="005C2B36"/>
    <w:rsid w:val="005F5180"/>
    <w:rsid w:val="00644B12"/>
    <w:rsid w:val="00662178"/>
    <w:rsid w:val="006900B7"/>
    <w:rsid w:val="006B2831"/>
    <w:rsid w:val="006E151F"/>
    <w:rsid w:val="00712BBA"/>
    <w:rsid w:val="007145E6"/>
    <w:rsid w:val="00767C30"/>
    <w:rsid w:val="00782BB1"/>
    <w:rsid w:val="007E373C"/>
    <w:rsid w:val="00835734"/>
    <w:rsid w:val="00837146"/>
    <w:rsid w:val="00864D6F"/>
    <w:rsid w:val="008C00A5"/>
    <w:rsid w:val="0090067D"/>
    <w:rsid w:val="00A05593"/>
    <w:rsid w:val="00AB1809"/>
    <w:rsid w:val="00B22CFE"/>
    <w:rsid w:val="00B35F81"/>
    <w:rsid w:val="00B50497"/>
    <w:rsid w:val="00B6477D"/>
    <w:rsid w:val="00B767EA"/>
    <w:rsid w:val="00BA410B"/>
    <w:rsid w:val="00BC3F67"/>
    <w:rsid w:val="00BD31A8"/>
    <w:rsid w:val="00C67A5E"/>
    <w:rsid w:val="00C75D8E"/>
    <w:rsid w:val="00CB448A"/>
    <w:rsid w:val="00D01681"/>
    <w:rsid w:val="00D66D1E"/>
    <w:rsid w:val="00D826CD"/>
    <w:rsid w:val="00DF38C2"/>
    <w:rsid w:val="00E1490F"/>
    <w:rsid w:val="00E2006B"/>
    <w:rsid w:val="00EA1B4A"/>
    <w:rsid w:val="00EA2C67"/>
    <w:rsid w:val="00F42282"/>
    <w:rsid w:val="00FE1047"/>
    <w:rsid w:val="00FE4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78"/>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662178"/>
    <w:pPr>
      <w:keepNext/>
      <w:jc w:val="center"/>
      <w:outlineLvl w:val="0"/>
    </w:pPr>
    <w:rPr>
      <w:b/>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178"/>
    <w:rPr>
      <w:rFonts w:ascii="Times New Roman" w:eastAsia="Times New Roman" w:hAnsi="Times New Roman" w:cs="Times New Roman"/>
      <w:b/>
      <w:sz w:val="26"/>
      <w:szCs w:val="26"/>
    </w:rPr>
  </w:style>
  <w:style w:type="character" w:styleId="Strong">
    <w:name w:val="Strong"/>
    <w:basedOn w:val="DefaultParagraphFont"/>
    <w:qFormat/>
    <w:rsid w:val="00662178"/>
    <w:rPr>
      <w:b/>
      <w:bCs/>
    </w:rPr>
  </w:style>
  <w:style w:type="paragraph" w:styleId="NormalWeb">
    <w:name w:val="Normal (Web)"/>
    <w:basedOn w:val="Normal"/>
    <w:rsid w:val="00662178"/>
    <w:pPr>
      <w:spacing w:before="100" w:beforeAutospacing="1" w:after="100" w:afterAutospacing="1"/>
    </w:pPr>
  </w:style>
  <w:style w:type="paragraph" w:customStyle="1" w:styleId="Default">
    <w:name w:val="Default"/>
    <w:rsid w:val="00662178"/>
    <w:pPr>
      <w:autoSpaceDE w:val="0"/>
      <w:autoSpaceDN w:val="0"/>
      <w:adjustRightInd w:val="0"/>
      <w:spacing w:after="0" w:line="240" w:lineRule="auto"/>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662178"/>
    <w:rPr>
      <w:rFonts w:ascii="Tahoma" w:hAnsi="Tahoma" w:cs="Tahoma"/>
      <w:sz w:val="16"/>
      <w:szCs w:val="16"/>
    </w:rPr>
  </w:style>
  <w:style w:type="character" w:customStyle="1" w:styleId="BalloonTextChar">
    <w:name w:val="Balloon Text Char"/>
    <w:basedOn w:val="DefaultParagraphFont"/>
    <w:link w:val="BalloonText"/>
    <w:uiPriority w:val="99"/>
    <w:semiHidden/>
    <w:rsid w:val="00662178"/>
    <w:rPr>
      <w:rFonts w:ascii="Tahoma" w:eastAsia="Times New Roman" w:hAnsi="Tahoma" w:cs="Tahoma"/>
      <w:sz w:val="16"/>
      <w:szCs w:val="16"/>
      <w:lang w:eastAsia="ro-RO"/>
    </w:rPr>
  </w:style>
  <w:style w:type="character" w:customStyle="1" w:styleId="apple-converted-space">
    <w:name w:val="apple-converted-space"/>
    <w:basedOn w:val="DefaultParagraphFont"/>
    <w:rsid w:val="00CB448A"/>
  </w:style>
  <w:style w:type="character" w:styleId="Hyperlink">
    <w:name w:val="Hyperlink"/>
    <w:basedOn w:val="DefaultParagraphFont"/>
    <w:uiPriority w:val="99"/>
    <w:semiHidden/>
    <w:unhideWhenUsed/>
    <w:rsid w:val="00CB448A"/>
    <w:rPr>
      <w:color w:val="0000FF"/>
      <w:u w:val="single"/>
    </w:rPr>
  </w:style>
  <w:style w:type="paragraph" w:styleId="Header">
    <w:name w:val="header"/>
    <w:basedOn w:val="Normal"/>
    <w:link w:val="HeaderChar"/>
    <w:uiPriority w:val="99"/>
    <w:semiHidden/>
    <w:unhideWhenUsed/>
    <w:rsid w:val="00644B12"/>
    <w:pPr>
      <w:tabs>
        <w:tab w:val="center" w:pos="4536"/>
        <w:tab w:val="right" w:pos="9072"/>
      </w:tabs>
    </w:pPr>
  </w:style>
  <w:style w:type="character" w:customStyle="1" w:styleId="HeaderChar">
    <w:name w:val="Header Char"/>
    <w:basedOn w:val="DefaultParagraphFont"/>
    <w:link w:val="Header"/>
    <w:uiPriority w:val="99"/>
    <w:semiHidden/>
    <w:rsid w:val="00644B12"/>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644B12"/>
    <w:pPr>
      <w:tabs>
        <w:tab w:val="center" w:pos="4536"/>
        <w:tab w:val="right" w:pos="9072"/>
      </w:tabs>
    </w:pPr>
  </w:style>
  <w:style w:type="character" w:customStyle="1" w:styleId="FooterChar">
    <w:name w:val="Footer Char"/>
    <w:basedOn w:val="DefaultParagraphFont"/>
    <w:link w:val="Footer"/>
    <w:uiPriority w:val="99"/>
    <w:rsid w:val="00644B12"/>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99884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AA997-3069-4986-AEAF-8EB4EFF8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aindries</dc:creator>
  <cp:keywords/>
  <dc:description/>
  <cp:lastModifiedBy>apintilie</cp:lastModifiedBy>
  <cp:revision>8</cp:revision>
  <cp:lastPrinted>2014-05-13T10:49:00Z</cp:lastPrinted>
  <dcterms:created xsi:type="dcterms:W3CDTF">2014-06-23T07:15:00Z</dcterms:created>
  <dcterms:modified xsi:type="dcterms:W3CDTF">2014-06-23T07:46:00Z</dcterms:modified>
</cp:coreProperties>
</file>