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F7" w:rsidRDefault="004349F7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4349F7" w:rsidRPr="004349F7" w:rsidRDefault="004349F7" w:rsidP="004349F7">
      <w:pPr>
        <w:spacing w:after="0" w:afterAutospacing="0"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 xml:space="preserve">    Anexa nr. 2 la HCL…………</w:t>
      </w:r>
    </w:p>
    <w:p w:rsidR="007D4636" w:rsidRDefault="007D4636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F1688" w:rsidRDefault="003F1688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F7" w:rsidRPr="004349F7" w:rsidRDefault="004349F7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F62F4" w:rsidRPr="004349F7" w:rsidRDefault="007D4636" w:rsidP="004349F7">
      <w:pPr>
        <w:spacing w:after="0" w:afterAutospacing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Stabilirea contribuției</w:t>
      </w:r>
      <w:r w:rsidR="005F62F4" w:rsidRPr="004349F7">
        <w:rPr>
          <w:rFonts w:ascii="Times New Roman" w:hAnsi="Times New Roman" w:cs="Times New Roman"/>
          <w:b/>
          <w:i/>
          <w:sz w:val="24"/>
          <w:szCs w:val="24"/>
        </w:rPr>
        <w:t xml:space="preserve"> lunare a </w:t>
      </w:r>
      <w:r w:rsidRPr="004349F7">
        <w:rPr>
          <w:rFonts w:ascii="Times New Roman" w:hAnsi="Times New Roman" w:cs="Times New Roman"/>
          <w:b/>
          <w:i/>
          <w:sz w:val="24"/>
          <w:szCs w:val="24"/>
        </w:rPr>
        <w:t xml:space="preserve"> beneficiarilor </w:t>
      </w:r>
    </w:p>
    <w:p w:rsidR="007D4636" w:rsidRPr="004349F7" w:rsidRDefault="007D4636" w:rsidP="004349F7">
      <w:pPr>
        <w:spacing w:after="0" w:afterAutospacing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Serviciului de supraveghere și intervenție de tip Teleasistență</w:t>
      </w:r>
    </w:p>
    <w:p w:rsidR="003F1688" w:rsidRDefault="007D4636" w:rsidP="003F1688">
      <w:pPr>
        <w:autoSpaceDE w:val="0"/>
        <w:autoSpaceDN w:val="0"/>
        <w:adjustRightInd w:val="0"/>
        <w:spacing w:after="0" w:line="360" w:lineRule="auto"/>
        <w:ind w:left="540" w:right="281" w:firstLine="425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ab/>
      </w:r>
    </w:p>
    <w:p w:rsidR="003F1688" w:rsidRDefault="003F1688" w:rsidP="003F1688">
      <w:pPr>
        <w:autoSpaceDE w:val="0"/>
        <w:autoSpaceDN w:val="0"/>
        <w:adjustRightInd w:val="0"/>
        <w:spacing w:after="0" w:line="360" w:lineRule="auto"/>
        <w:ind w:left="540" w:right="281" w:firstLine="425"/>
        <w:rPr>
          <w:rFonts w:ascii="Times New Roman" w:hAnsi="Times New Roman" w:cs="Times New Roman"/>
          <w:sz w:val="24"/>
          <w:szCs w:val="24"/>
        </w:rPr>
      </w:pPr>
    </w:p>
    <w:p w:rsidR="003F1688" w:rsidRPr="003F1688" w:rsidRDefault="003F1688" w:rsidP="003F1688">
      <w:pPr>
        <w:autoSpaceDE w:val="0"/>
        <w:autoSpaceDN w:val="0"/>
        <w:adjustRightInd w:val="0"/>
        <w:spacing w:after="0" w:line="360" w:lineRule="auto"/>
        <w:ind w:right="281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Având în vedere </w:t>
      </w:r>
      <w:r w:rsidRPr="00FA7F1A">
        <w:rPr>
          <w:rFonts w:ascii="Times New Roman" w:hAnsi="Times New Roman"/>
          <w:b/>
          <w:sz w:val="24"/>
          <w:szCs w:val="24"/>
        </w:rPr>
        <w:t>Referatul privind calcului costului mediu lunar pentru anul 2020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2345A">
        <w:rPr>
          <w:rFonts w:ascii="Times New Roman" w:hAnsi="Times New Roman"/>
          <w:b/>
          <w:sz w:val="24"/>
          <w:szCs w:val="24"/>
        </w:rPr>
        <w:t>î</w:t>
      </w:r>
      <w:r w:rsidRPr="0062345A">
        <w:rPr>
          <w:rFonts w:ascii="Times New Roman" w:hAnsi="Times New Roman"/>
          <w:sz w:val="24"/>
          <w:szCs w:val="24"/>
        </w:rPr>
        <w:t xml:space="preserve">nregistrat </w:t>
      </w:r>
      <w:r>
        <w:rPr>
          <w:rFonts w:ascii="Times New Roman" w:hAnsi="Times New Roman"/>
          <w:sz w:val="24"/>
          <w:szCs w:val="24"/>
        </w:rPr>
        <w:t>cu nr. 11055/25.06.2020, prin care s-a aprobat costul mediu lunar pentru perioada iunie-decembrie 2020 de 8181 lei /an pentru servicii de supraveghere și intervenție de tip Teleasistență/ beneficiar, respectiv 681,75 lei/lună.</w:t>
      </w:r>
    </w:p>
    <w:p w:rsidR="00C25D2F" w:rsidRDefault="003F1688" w:rsidP="003F1688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Ținând cont că s</w:t>
      </w:r>
      <w:r w:rsidR="007D4636" w:rsidRPr="004349F7">
        <w:rPr>
          <w:rFonts w:ascii="Times New Roman" w:hAnsi="Times New Roman" w:cs="Times New Roman"/>
          <w:sz w:val="24"/>
          <w:szCs w:val="24"/>
        </w:rPr>
        <w:t>erviciile oferite cuprind:</w:t>
      </w:r>
    </w:p>
    <w:p w:rsidR="003F1688" w:rsidRDefault="003F1688" w:rsidP="003F1688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413C47" w:rsidRDefault="00413C47" w:rsidP="004349F7">
      <w:pPr>
        <w:pStyle w:val="ListParagraph"/>
        <w:numPr>
          <w:ilvl w:val="0"/>
          <w:numId w:val="13"/>
        </w:num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 xml:space="preserve">Supraveghere, </w:t>
      </w:r>
      <w:r w:rsidR="007D4636" w:rsidRPr="004349F7">
        <w:rPr>
          <w:rFonts w:ascii="Times New Roman" w:hAnsi="Times New Roman" w:cs="Times New Roman"/>
          <w:b/>
          <w:sz w:val="24"/>
          <w:szCs w:val="24"/>
        </w:rPr>
        <w:t>Monitorizare</w:t>
      </w:r>
      <w:r w:rsidRPr="004349F7">
        <w:rPr>
          <w:rFonts w:ascii="Times New Roman" w:hAnsi="Times New Roman" w:cs="Times New Roman"/>
          <w:b/>
          <w:sz w:val="24"/>
          <w:szCs w:val="24"/>
        </w:rPr>
        <w:t xml:space="preserve"> și Intervenție permanentă:</w:t>
      </w:r>
    </w:p>
    <w:p w:rsidR="007D4636" w:rsidRDefault="00413C47" w:rsidP="004349F7">
      <w:pPr>
        <w:pStyle w:val="ListParagraph"/>
        <w:numPr>
          <w:ilvl w:val="0"/>
          <w:numId w:val="12"/>
        </w:num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 xml:space="preserve">prin </w:t>
      </w:r>
      <w:r w:rsidR="007D4636" w:rsidRPr="004349F7">
        <w:rPr>
          <w:rFonts w:ascii="Times New Roman" w:hAnsi="Times New Roman" w:cs="Times New Roman"/>
          <w:b/>
          <w:sz w:val="24"/>
          <w:szCs w:val="24"/>
        </w:rPr>
        <w:t>Contactarea telefonică zilnic/săptămânal</w:t>
      </w:r>
      <w:r w:rsidR="007D4636" w:rsidRPr="004349F7">
        <w:rPr>
          <w:rFonts w:ascii="Times New Roman" w:hAnsi="Times New Roman" w:cs="Times New Roman"/>
          <w:sz w:val="24"/>
          <w:szCs w:val="24"/>
        </w:rPr>
        <w:t>, de către referenții care asigură permanența la pupitrul de monitorizare (dispecerat) pentru a ține o relație constantă cu persoana vârstnică, a afla starea de sănătate a acesteia, a identifica eventualele nevoi și pericole, a aduce aminte persoanei vârstnice menținerea telefonului asupra lor și încărcarea acestuia;</w:t>
      </w:r>
    </w:p>
    <w:p w:rsidR="004349F7" w:rsidRPr="004349F7" w:rsidRDefault="00413C47" w:rsidP="004349F7">
      <w:pPr>
        <w:pStyle w:val="ListParagraph"/>
        <w:numPr>
          <w:ilvl w:val="0"/>
          <w:numId w:val="12"/>
        </w:num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 xml:space="preserve">prin </w:t>
      </w:r>
      <w:r w:rsidRPr="004349F7">
        <w:rPr>
          <w:rFonts w:ascii="Times New Roman" w:hAnsi="Times New Roman" w:cs="Times New Roman"/>
          <w:b/>
          <w:sz w:val="24"/>
          <w:szCs w:val="24"/>
        </w:rPr>
        <w:t>Deplasarea Echipei mobile de intervenție Teleasistență</w:t>
      </w:r>
      <w:r w:rsidRPr="004349F7">
        <w:rPr>
          <w:rFonts w:ascii="Times New Roman" w:hAnsi="Times New Roman" w:cs="Times New Roman"/>
          <w:sz w:val="24"/>
          <w:szCs w:val="24"/>
        </w:rPr>
        <w:t xml:space="preserve"> compusă din medic, psiholog și asistent social cu Ambulanța socială a instituției în zilel</w:t>
      </w:r>
      <w:r w:rsidR="004349F7">
        <w:rPr>
          <w:rFonts w:ascii="Times New Roman" w:hAnsi="Times New Roman" w:cs="Times New Roman"/>
          <w:sz w:val="24"/>
          <w:szCs w:val="24"/>
        </w:rPr>
        <w:t>e lucrătoare între orele 8-16;</w:t>
      </w:r>
    </w:p>
    <w:p w:rsidR="00413C47" w:rsidRPr="004349F7" w:rsidRDefault="00413C47" w:rsidP="004349F7">
      <w:pPr>
        <w:pStyle w:val="ListParagraph"/>
        <w:numPr>
          <w:ilvl w:val="0"/>
          <w:numId w:val="12"/>
        </w:num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>Însoțire la instituții medicale</w:t>
      </w:r>
      <w:r w:rsidRPr="004349F7">
        <w:rPr>
          <w:rFonts w:ascii="Times New Roman" w:hAnsi="Times New Roman" w:cs="Times New Roman"/>
          <w:sz w:val="24"/>
          <w:szCs w:val="24"/>
        </w:rPr>
        <w:t xml:space="preserve"> atunci când situația de urgență o impune</w:t>
      </w:r>
    </w:p>
    <w:p w:rsidR="004349F7" w:rsidRDefault="004349F7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4636" w:rsidRDefault="007D4636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>-</w:t>
      </w:r>
      <w:r w:rsidRPr="004349F7">
        <w:rPr>
          <w:rFonts w:ascii="Times New Roman" w:hAnsi="Times New Roman" w:cs="Times New Roman"/>
          <w:b/>
          <w:sz w:val="24"/>
          <w:szCs w:val="24"/>
        </w:rPr>
        <w:t>Recepționarea apelurilor de la beneficiarii</w:t>
      </w:r>
      <w:r w:rsidRPr="004349F7">
        <w:rPr>
          <w:rFonts w:ascii="Times New Roman" w:hAnsi="Times New Roman" w:cs="Times New Roman"/>
          <w:sz w:val="24"/>
          <w:szCs w:val="24"/>
        </w:rPr>
        <w:t xml:space="preserve"> aflați în situații de urgență </w:t>
      </w:r>
      <w:r w:rsidR="00413C47" w:rsidRPr="004349F7">
        <w:rPr>
          <w:rFonts w:ascii="Times New Roman" w:hAnsi="Times New Roman" w:cs="Times New Roman"/>
          <w:sz w:val="24"/>
          <w:szCs w:val="24"/>
        </w:rPr>
        <w:t>socio-medicală 24 ore/24 ore</w:t>
      </w:r>
      <w:r w:rsidRPr="004349F7">
        <w:rPr>
          <w:rFonts w:ascii="Times New Roman" w:hAnsi="Times New Roman" w:cs="Times New Roman"/>
          <w:sz w:val="24"/>
          <w:szCs w:val="24"/>
        </w:rPr>
        <w:t>;</w:t>
      </w:r>
    </w:p>
    <w:p w:rsidR="004349F7" w:rsidRPr="004349F7" w:rsidRDefault="004349F7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4636" w:rsidRDefault="007D4636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4349F7">
        <w:rPr>
          <w:rFonts w:ascii="Times New Roman" w:hAnsi="Times New Roman" w:cs="Times New Roman"/>
          <w:b/>
          <w:sz w:val="24"/>
          <w:szCs w:val="24"/>
        </w:rPr>
        <w:t>Contactarea serviciului de ambulanță/pompieri/poliție</w:t>
      </w:r>
      <w:r w:rsidRPr="004349F7">
        <w:rPr>
          <w:rFonts w:ascii="Times New Roman" w:hAnsi="Times New Roman" w:cs="Times New Roman"/>
          <w:sz w:val="24"/>
          <w:szCs w:val="24"/>
        </w:rPr>
        <w:t xml:space="preserve"> în funcție de situația semnalată de către beneficiarul de teleasistență;</w:t>
      </w:r>
    </w:p>
    <w:p w:rsidR="004349F7" w:rsidRPr="004349F7" w:rsidRDefault="004349F7" w:rsidP="004349F7">
      <w:pPr>
        <w:spacing w:after="0" w:afterAutospacing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4636" w:rsidRDefault="007D4636" w:rsidP="004349F7">
      <w:pPr>
        <w:spacing w:after="0" w:afterAutospacing="0"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4349F7">
        <w:rPr>
          <w:rFonts w:ascii="Times New Roman" w:hAnsi="Times New Roman" w:cs="Times New Roman"/>
          <w:i/>
          <w:noProof/>
          <w:sz w:val="24"/>
          <w:szCs w:val="24"/>
        </w:rPr>
        <w:t>Având în vedere că veniturile persoanelor vârstnice se modifică frecvent, s-a luat în</w:t>
      </w:r>
      <w:r w:rsidR="00BA4698" w:rsidRPr="004349F7">
        <w:rPr>
          <w:rFonts w:ascii="Times New Roman" w:hAnsi="Times New Roman" w:cs="Times New Roman"/>
          <w:i/>
          <w:noProof/>
          <w:sz w:val="24"/>
          <w:szCs w:val="24"/>
        </w:rPr>
        <w:t xml:space="preserve"> calcul pentru stabilirea contribuției beneficiarilor serviciului de supraveghere și intervenție de tip teleasistență, </w:t>
      </w:r>
      <w:r w:rsidRPr="004349F7">
        <w:rPr>
          <w:rFonts w:ascii="Times New Roman" w:hAnsi="Times New Roman" w:cs="Times New Roman"/>
          <w:i/>
          <w:noProof/>
          <w:sz w:val="24"/>
          <w:szCs w:val="24"/>
        </w:rPr>
        <w:t xml:space="preserve"> ca indicator</w:t>
      </w:r>
      <w:r w:rsidR="00BA4698" w:rsidRPr="004349F7">
        <w:rPr>
          <w:rFonts w:ascii="Times New Roman" w:hAnsi="Times New Roman" w:cs="Times New Roman"/>
          <w:i/>
          <w:noProof/>
          <w:sz w:val="24"/>
          <w:szCs w:val="24"/>
        </w:rPr>
        <w:t>,</w:t>
      </w:r>
      <w:r w:rsidRPr="004349F7">
        <w:rPr>
          <w:rFonts w:ascii="Times New Roman" w:hAnsi="Times New Roman" w:cs="Times New Roman"/>
          <w:i/>
          <w:noProof/>
          <w:sz w:val="24"/>
          <w:szCs w:val="24"/>
        </w:rPr>
        <w:t xml:space="preserve"> valoarea punctului de pensie (vpp).</w:t>
      </w:r>
    </w:p>
    <w:p w:rsidR="004349F7" w:rsidRPr="004349F7" w:rsidRDefault="004349F7" w:rsidP="004349F7">
      <w:pPr>
        <w:spacing w:after="0" w:afterAutospacing="0" w:line="36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tbl>
      <w:tblPr>
        <w:tblStyle w:val="TableGrid"/>
        <w:tblW w:w="7758" w:type="dxa"/>
        <w:tblInd w:w="913" w:type="dxa"/>
        <w:tblLook w:val="04A0"/>
      </w:tblPr>
      <w:tblGrid>
        <w:gridCol w:w="410"/>
        <w:gridCol w:w="4173"/>
        <w:gridCol w:w="3175"/>
      </w:tblGrid>
      <w:tr w:rsidR="00413C47" w:rsidRPr="004349F7" w:rsidTr="005006DE">
        <w:tc>
          <w:tcPr>
            <w:tcW w:w="410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73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Nivelul venitului net lunar</w:t>
            </w:r>
            <w:r w:rsidR="005006DE"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al beneficiarilor serviciului de supraveghere și intervenție de tip teleasistență</w:t>
            </w:r>
          </w:p>
        </w:tc>
        <w:tc>
          <w:tcPr>
            <w:tcW w:w="3175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Modul de calcul al contribuției beneficiarilor de teleasistență/ lună</w:t>
            </w:r>
          </w:p>
        </w:tc>
      </w:tr>
      <w:tr w:rsidR="00413C47" w:rsidRPr="004349F7" w:rsidTr="005006DE">
        <w:trPr>
          <w:trHeight w:val="1069"/>
        </w:trPr>
        <w:tc>
          <w:tcPr>
            <w:tcW w:w="410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Persoane vârstnice fără venituri sau cu venituri mai mici sau egale cu valoarea unui  punct de pensie (vpp)</w:t>
            </w:r>
          </w:p>
        </w:tc>
        <w:tc>
          <w:tcPr>
            <w:tcW w:w="3175" w:type="dxa"/>
          </w:tcPr>
          <w:p w:rsidR="00413C47" w:rsidRPr="004349F7" w:rsidRDefault="00413C47" w:rsidP="004349F7">
            <w:pPr>
              <w:spacing w:after="0" w:afterAutospacing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413C47" w:rsidRPr="004349F7" w:rsidRDefault="00413C47" w:rsidP="004349F7">
            <w:pPr>
              <w:spacing w:after="0" w:afterAutospacing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 lei</w:t>
            </w:r>
          </w:p>
        </w:tc>
      </w:tr>
      <w:tr w:rsidR="00413C47" w:rsidRPr="004349F7" w:rsidTr="005006DE">
        <w:trPr>
          <w:trHeight w:val="349"/>
        </w:trPr>
        <w:tc>
          <w:tcPr>
            <w:tcW w:w="410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1 x vpp + 0,5 lei -  1,5 x vpp</w:t>
            </w:r>
          </w:p>
        </w:tc>
        <w:tc>
          <w:tcPr>
            <w:tcW w:w="3175" w:type="dxa"/>
          </w:tcPr>
          <w:p w:rsidR="00413C47" w:rsidRPr="004349F7" w:rsidRDefault="00413C47" w:rsidP="004349F7">
            <w:pPr>
              <w:spacing w:after="0" w:afterAutospacing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</w:t>
            </w:r>
          </w:p>
        </w:tc>
      </w:tr>
      <w:tr w:rsidR="00413C47" w:rsidRPr="004349F7" w:rsidTr="005006DE">
        <w:tc>
          <w:tcPr>
            <w:tcW w:w="410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1,5 x vpp + 0,5 lei -  2 x vpp</w:t>
            </w:r>
          </w:p>
        </w:tc>
        <w:tc>
          <w:tcPr>
            <w:tcW w:w="3175" w:type="dxa"/>
          </w:tcPr>
          <w:p w:rsidR="00413C47" w:rsidRPr="004349F7" w:rsidRDefault="00413C47" w:rsidP="004349F7">
            <w:pPr>
              <w:spacing w:after="0" w:afterAutospacing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 + 1% din venit</w:t>
            </w:r>
          </w:p>
        </w:tc>
      </w:tr>
      <w:tr w:rsidR="00413C47" w:rsidRPr="004349F7" w:rsidTr="005006DE">
        <w:tc>
          <w:tcPr>
            <w:tcW w:w="410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413C47" w:rsidRPr="004349F7" w:rsidRDefault="00413C47" w:rsidP="004349F7">
            <w:pPr>
              <w:spacing w:after="0" w:afterAutospacing="0"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Peste 2 x vpp + 0,5 lei</w:t>
            </w:r>
          </w:p>
        </w:tc>
        <w:tc>
          <w:tcPr>
            <w:tcW w:w="3175" w:type="dxa"/>
          </w:tcPr>
          <w:p w:rsidR="00413C47" w:rsidRPr="004349F7" w:rsidRDefault="00413C47" w:rsidP="004349F7">
            <w:pPr>
              <w:spacing w:after="0" w:afterAutospacing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 + 2% din venit</w:t>
            </w:r>
          </w:p>
        </w:tc>
      </w:tr>
    </w:tbl>
    <w:p w:rsidR="007D4636" w:rsidRDefault="007D4636" w:rsidP="004349F7">
      <w:pPr>
        <w:spacing w:after="0" w:afterAutospacing="0" w:line="360" w:lineRule="auto"/>
        <w:ind w:firstLine="708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noProof/>
          <w:sz w:val="24"/>
          <w:szCs w:val="24"/>
        </w:rPr>
        <w:t>Vpp – valoarea unui punct de pensie conform actelor normative în vigoare.</w:t>
      </w:r>
    </w:p>
    <w:p w:rsidR="003F1688" w:rsidRPr="004349F7" w:rsidRDefault="003F1688" w:rsidP="004349F7">
      <w:pPr>
        <w:spacing w:after="0" w:afterAutospacing="0" w:line="360" w:lineRule="auto"/>
        <w:ind w:firstLine="708"/>
        <w:rPr>
          <w:rFonts w:ascii="Times New Roman" w:hAnsi="Times New Roman" w:cs="Times New Roman"/>
          <w:b/>
          <w:i/>
          <w:noProof/>
          <w:sz w:val="24"/>
          <w:szCs w:val="24"/>
        </w:rPr>
      </w:pPr>
    </w:p>
    <w:p w:rsidR="005006DE" w:rsidRPr="004349F7" w:rsidRDefault="007D4636" w:rsidP="004349F7">
      <w:pPr>
        <w:spacing w:after="0" w:afterAutospacing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>Calculul contribuției pentru fiecare beneficiar se va face ținând cont de toate veniturile nete lunare ale persoanei</w:t>
      </w:r>
      <w:r w:rsidR="005006DE" w:rsidRPr="004349F7">
        <w:rPr>
          <w:rFonts w:ascii="Times New Roman" w:hAnsi="Times New Roman" w:cs="Times New Roman"/>
          <w:sz w:val="24"/>
          <w:szCs w:val="24"/>
        </w:rPr>
        <w:t xml:space="preserve"> vârstnice.</w:t>
      </w:r>
    </w:p>
    <w:p w:rsidR="005006DE" w:rsidRPr="004349F7" w:rsidRDefault="005006DE" w:rsidP="004349F7">
      <w:pPr>
        <w:spacing w:after="0" w:afterAutospacing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>În situațiile în care se solicită temporar (maxim 3 luni) suspendarea serviciului, beneficiarul nu va datora contribuție pe perioada suspendării.</w:t>
      </w:r>
    </w:p>
    <w:p w:rsidR="007D4636" w:rsidRPr="004349F7" w:rsidRDefault="007D4636" w:rsidP="004349F7">
      <w:pPr>
        <w:spacing w:after="0" w:afterAutospacing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sz w:val="24"/>
          <w:szCs w:val="24"/>
        </w:rPr>
        <w:t xml:space="preserve">Încasarea contribuției pentru </w:t>
      </w:r>
      <w:r w:rsidR="005006DE" w:rsidRPr="004349F7">
        <w:rPr>
          <w:rFonts w:ascii="Times New Roman" w:hAnsi="Times New Roman" w:cs="Times New Roman"/>
          <w:sz w:val="24"/>
          <w:szCs w:val="24"/>
        </w:rPr>
        <w:t>serviciul de supraveghere tip Teleasistență</w:t>
      </w:r>
      <w:r w:rsidRPr="004349F7">
        <w:rPr>
          <w:rFonts w:ascii="Times New Roman" w:hAnsi="Times New Roman" w:cs="Times New Roman"/>
          <w:sz w:val="24"/>
          <w:szCs w:val="24"/>
        </w:rPr>
        <w:t xml:space="preserve"> se va face în luna </w:t>
      </w:r>
      <w:r w:rsidR="005006DE" w:rsidRPr="004349F7">
        <w:rPr>
          <w:rFonts w:ascii="Times New Roman" w:hAnsi="Times New Roman" w:cs="Times New Roman"/>
          <w:sz w:val="24"/>
          <w:szCs w:val="24"/>
        </w:rPr>
        <w:t>în curs în perioada 20-25 ale lunii.</w:t>
      </w:r>
    </w:p>
    <w:p w:rsidR="00C25D2F" w:rsidRDefault="00C25D2F" w:rsidP="004349F7">
      <w:pPr>
        <w:tabs>
          <w:tab w:val="left" w:pos="0"/>
          <w:tab w:val="left" w:pos="180"/>
          <w:tab w:val="left" w:pos="990"/>
        </w:tabs>
        <w:spacing w:after="0" w:afterAutospacing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7D4636" w:rsidRDefault="00C25D2F" w:rsidP="00C25D2F">
      <w:pPr>
        <w:tabs>
          <w:tab w:val="left" w:pos="0"/>
          <w:tab w:val="left" w:pos="180"/>
          <w:tab w:val="left" w:pos="720"/>
        </w:tabs>
        <w:spacing w:after="0" w:afterAutospacing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D4636" w:rsidRPr="004349F7">
        <w:rPr>
          <w:rFonts w:ascii="Times New Roman" w:hAnsi="Times New Roman" w:cs="Times New Roman"/>
          <w:bCs/>
          <w:iCs/>
          <w:sz w:val="24"/>
          <w:szCs w:val="24"/>
        </w:rPr>
        <w:t xml:space="preserve">Serviciile de consiliere, informare socială şi îndrumare socio-administrativă, Serviciile de consiliere psihologică (recuperare/reabilitare psihică), Serviciile de readaptare a capacităţilor fizice – kinetoterapie ( recuperare/reabilitare fizică, Serviciile de asistență medicală primară și Serviciile de asistență juridică asigurate la nevoie beneficiarilor </w:t>
      </w:r>
      <w:r w:rsidR="005006DE" w:rsidRPr="004349F7">
        <w:rPr>
          <w:rFonts w:ascii="Times New Roman" w:hAnsi="Times New Roman" w:cs="Times New Roman"/>
          <w:bCs/>
          <w:iCs/>
          <w:sz w:val="24"/>
          <w:szCs w:val="24"/>
        </w:rPr>
        <w:t xml:space="preserve">de teleasistență </w:t>
      </w:r>
      <w:r w:rsidR="007D4636" w:rsidRPr="004349F7">
        <w:rPr>
          <w:rFonts w:ascii="Times New Roman" w:hAnsi="Times New Roman" w:cs="Times New Roman"/>
          <w:bCs/>
          <w:iCs/>
          <w:sz w:val="24"/>
          <w:szCs w:val="24"/>
        </w:rPr>
        <w:t>se acordă gratuit.</w:t>
      </w:r>
    </w:p>
    <w:p w:rsidR="00C25D2F" w:rsidRPr="004349F7" w:rsidRDefault="00C25D2F" w:rsidP="00C25D2F">
      <w:pPr>
        <w:tabs>
          <w:tab w:val="left" w:pos="0"/>
          <w:tab w:val="left" w:pos="180"/>
          <w:tab w:val="left" w:pos="720"/>
        </w:tabs>
        <w:spacing w:after="0" w:afterAutospacing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3F1688" w:rsidRDefault="003F1688" w:rsidP="004349F7">
      <w:p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F1688" w:rsidRDefault="003F1688" w:rsidP="004349F7">
      <w:p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D4636" w:rsidRDefault="007D4636" w:rsidP="004349F7">
      <w:p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i/>
          <w:sz w:val="24"/>
          <w:szCs w:val="24"/>
        </w:rPr>
        <w:t xml:space="preserve">Exemplificare calcul contribuție beneficiar la valoarea actuală a punctului de pensie(1265 lei): </w:t>
      </w:r>
    </w:p>
    <w:p w:rsidR="003F1688" w:rsidRPr="004349F7" w:rsidRDefault="003F1688" w:rsidP="004349F7">
      <w:p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7758" w:type="dxa"/>
        <w:tblInd w:w="913" w:type="dxa"/>
        <w:tblLook w:val="04A0"/>
      </w:tblPr>
      <w:tblGrid>
        <w:gridCol w:w="410"/>
        <w:gridCol w:w="4173"/>
        <w:gridCol w:w="3175"/>
      </w:tblGrid>
      <w:tr w:rsidR="005006DE" w:rsidRPr="004349F7" w:rsidTr="0008515C">
        <w:tc>
          <w:tcPr>
            <w:tcW w:w="410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173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Nivelul venitului net lunar al beneficiarilor serviciului de supraveghere și intervenție de tip teleasistență</w:t>
            </w:r>
          </w:p>
        </w:tc>
        <w:tc>
          <w:tcPr>
            <w:tcW w:w="3175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Modul de calcul al contribuției beneficiarilor de teleasistență/ lună</w:t>
            </w:r>
          </w:p>
        </w:tc>
      </w:tr>
      <w:tr w:rsidR="005006DE" w:rsidRPr="004349F7" w:rsidTr="0008515C">
        <w:trPr>
          <w:trHeight w:val="1069"/>
        </w:trPr>
        <w:tc>
          <w:tcPr>
            <w:tcW w:w="410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Persoane vârstnice fără venituri sau cu venituri mai mici sau egale cu valoarea unui  punct de pensie (vpp)</w:t>
            </w:r>
          </w:p>
          <w:p w:rsidR="005006DE" w:rsidRPr="00C25D2F" w:rsidRDefault="00C25D2F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C25D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Mai mic sau egal cu</w:t>
            </w:r>
            <w:r w:rsidR="005006DE" w:rsidRPr="00C25D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1265 lei</w:t>
            </w:r>
          </w:p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175" w:type="dxa"/>
          </w:tcPr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0 lei</w:t>
            </w:r>
          </w:p>
        </w:tc>
      </w:tr>
      <w:tr w:rsidR="005006DE" w:rsidRPr="004349F7" w:rsidTr="0008515C">
        <w:trPr>
          <w:trHeight w:val="349"/>
        </w:trPr>
        <w:tc>
          <w:tcPr>
            <w:tcW w:w="410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x vpp + 0,5 lei -  </w:t>
            </w:r>
            <w:r w:rsidR="006E56A4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x vpp</w:t>
            </w:r>
          </w:p>
          <w:p w:rsidR="005006DE" w:rsidRPr="004349F7" w:rsidRDefault="005006DE" w:rsidP="006E56A4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1265,5 lei – </w:t>
            </w:r>
            <w:r w:rsidR="006E56A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2530</w:t>
            </w: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lei</w:t>
            </w:r>
          </w:p>
        </w:tc>
        <w:tc>
          <w:tcPr>
            <w:tcW w:w="3175" w:type="dxa"/>
          </w:tcPr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</w:t>
            </w:r>
          </w:p>
        </w:tc>
      </w:tr>
      <w:tr w:rsidR="005006DE" w:rsidRPr="004349F7" w:rsidTr="0008515C">
        <w:tc>
          <w:tcPr>
            <w:tcW w:w="410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5006DE" w:rsidRPr="004349F7" w:rsidRDefault="006E56A4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5006DE"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x vpp + 0,5 lei - 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  <w:r w:rsidR="005006DE"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x vpp</w:t>
            </w:r>
          </w:p>
          <w:p w:rsidR="005006DE" w:rsidRPr="004349F7" w:rsidRDefault="006E56A4" w:rsidP="006E56A4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2530,5</w:t>
            </w:r>
            <w:r w:rsidR="005006DE"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lei –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3162,5 </w:t>
            </w:r>
            <w:r w:rsidR="005006DE"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lei</w:t>
            </w:r>
          </w:p>
        </w:tc>
        <w:tc>
          <w:tcPr>
            <w:tcW w:w="3175" w:type="dxa"/>
          </w:tcPr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 + 1% din venit</w:t>
            </w:r>
          </w:p>
        </w:tc>
      </w:tr>
      <w:tr w:rsidR="005006DE" w:rsidRPr="004349F7" w:rsidTr="0008515C">
        <w:tc>
          <w:tcPr>
            <w:tcW w:w="410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5006DE" w:rsidRPr="004349F7" w:rsidRDefault="005006DE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6E56A4">
              <w:rPr>
                <w:rFonts w:ascii="Times New Roman" w:hAnsi="Times New Roman" w:cs="Times New Roman"/>
                <w:noProof/>
                <w:sz w:val="24"/>
                <w:szCs w:val="24"/>
              </w:rPr>
              <w:t>,5</w:t>
            </w: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x vpp + 0,5 lei</w:t>
            </w:r>
            <w:r w:rsidR="006E56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– 3 x vpp</w:t>
            </w:r>
          </w:p>
          <w:p w:rsidR="005006DE" w:rsidRPr="004349F7" w:rsidRDefault="006E56A4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3163 lei – 3795 lei</w:t>
            </w:r>
          </w:p>
        </w:tc>
        <w:tc>
          <w:tcPr>
            <w:tcW w:w="3175" w:type="dxa"/>
          </w:tcPr>
          <w:p w:rsidR="005006DE" w:rsidRPr="004349F7" w:rsidRDefault="005006DE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34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15 lei + 2% din venit</w:t>
            </w:r>
          </w:p>
        </w:tc>
      </w:tr>
      <w:tr w:rsidR="006E56A4" w:rsidRPr="004349F7" w:rsidTr="0008515C">
        <w:tc>
          <w:tcPr>
            <w:tcW w:w="410" w:type="dxa"/>
          </w:tcPr>
          <w:p w:rsidR="006E56A4" w:rsidRPr="004349F7" w:rsidRDefault="006E56A4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6E56A4" w:rsidRDefault="006E56A4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Peste 3 x vpp + </w:t>
            </w:r>
            <w:r w:rsidRPr="004349F7">
              <w:rPr>
                <w:rFonts w:ascii="Times New Roman" w:hAnsi="Times New Roman" w:cs="Times New Roman"/>
                <w:noProof/>
                <w:sz w:val="24"/>
                <w:szCs w:val="24"/>
              </w:rPr>
              <w:t>0,5 lei</w:t>
            </w:r>
          </w:p>
          <w:p w:rsidR="006E56A4" w:rsidRPr="004349F7" w:rsidRDefault="006E56A4" w:rsidP="00C25D2F">
            <w:pPr>
              <w:spacing w:after="0" w:afterAutospacing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Peste 3795,5 lei</w:t>
            </w:r>
          </w:p>
        </w:tc>
        <w:tc>
          <w:tcPr>
            <w:tcW w:w="3175" w:type="dxa"/>
          </w:tcPr>
          <w:p w:rsidR="006E56A4" w:rsidRPr="004349F7" w:rsidRDefault="006E56A4" w:rsidP="00C25D2F">
            <w:pPr>
              <w:spacing w:after="0" w:afterAutospacing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30 lei +2% din venit</w:t>
            </w:r>
          </w:p>
        </w:tc>
      </w:tr>
    </w:tbl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08515C" w:rsidRPr="004349F7" w:rsidRDefault="0008515C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349F7">
        <w:rPr>
          <w:rFonts w:ascii="Times New Roman" w:hAnsi="Times New Roman" w:cs="Times New Roman"/>
          <w:i/>
          <w:sz w:val="24"/>
          <w:szCs w:val="24"/>
          <w:u w:val="single"/>
        </w:rPr>
        <w:t>Exemplu de calcul al contribuției</w:t>
      </w:r>
      <w:r w:rsidR="00C25D2F">
        <w:rPr>
          <w:rFonts w:ascii="Times New Roman" w:hAnsi="Times New Roman" w:cs="Times New Roman"/>
          <w:i/>
          <w:sz w:val="24"/>
          <w:szCs w:val="24"/>
          <w:u w:val="single"/>
        </w:rPr>
        <w:t xml:space="preserve"> lunare pentru serviciul de supraveghere și intervenție de tip Telasistență</w:t>
      </w:r>
      <w:r w:rsidRPr="004349F7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3F1688" w:rsidRDefault="003F1688" w:rsidP="00C25D2F">
      <w:pPr>
        <w:spacing w:after="0" w:afterAutospacing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8515C" w:rsidRPr="004349F7" w:rsidRDefault="0008515C" w:rsidP="00C25D2F">
      <w:pPr>
        <w:spacing w:after="0" w:afterAutospacing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Ex.1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: Dacă avem o persoană vârstnică a cărui venit lunar este de 1250 lei, valoarea venitului fiind sub </w:t>
      </w:r>
      <w:r w:rsidRPr="004349F7">
        <w:rPr>
          <w:rFonts w:ascii="Times New Roman" w:hAnsi="Times New Roman" w:cs="Times New Roman"/>
          <w:b/>
          <w:sz w:val="24"/>
          <w:szCs w:val="24"/>
        </w:rPr>
        <w:t>1</w:t>
      </w:r>
      <w:r w:rsidRPr="004349F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265 </w:t>
      </w:r>
      <w:r w:rsidRPr="004349F7">
        <w:rPr>
          <w:rFonts w:ascii="Times New Roman" w:hAnsi="Times New Roman" w:cs="Times New Roman"/>
          <w:noProof/>
          <w:sz w:val="24"/>
          <w:szCs w:val="24"/>
          <w:lang w:val="en-US"/>
        </w:rPr>
        <w:t>lei, contribu</w:t>
      </w:r>
      <w:r w:rsidR="005C58F0" w:rsidRPr="004349F7">
        <w:rPr>
          <w:rFonts w:ascii="Times New Roman" w:hAnsi="Times New Roman" w:cs="Times New Roman"/>
          <w:noProof/>
          <w:sz w:val="24"/>
          <w:szCs w:val="24"/>
          <w:lang w:val="en-US"/>
        </w:rPr>
        <w:t>ț</w:t>
      </w:r>
      <w:r w:rsidRPr="004349F7">
        <w:rPr>
          <w:rFonts w:ascii="Times New Roman" w:hAnsi="Times New Roman" w:cs="Times New Roman"/>
          <w:noProof/>
          <w:sz w:val="24"/>
          <w:szCs w:val="24"/>
          <w:lang w:val="en-US"/>
        </w:rPr>
        <w:t>ia acesteia pentru serviciul de teleasistență este de</w:t>
      </w:r>
      <w:r w:rsidRPr="004349F7">
        <w:rPr>
          <w:rFonts w:ascii="Times New Roman" w:hAnsi="Times New Roman" w:cs="Times New Roman"/>
          <w:b/>
          <w:noProof/>
          <w:sz w:val="24"/>
          <w:szCs w:val="24"/>
          <w:lang w:val="en-US"/>
        </w:rPr>
        <w:t xml:space="preserve"> </w:t>
      </w:r>
      <w:r w:rsidRPr="004349F7">
        <w:rPr>
          <w:rFonts w:ascii="Times New Roman" w:hAnsi="Times New Roman" w:cs="Times New Roman"/>
          <w:b/>
          <w:noProof/>
          <w:sz w:val="24"/>
          <w:szCs w:val="24"/>
        </w:rPr>
        <w:t xml:space="preserve"> 0 lei.</w:t>
      </w:r>
    </w:p>
    <w:p w:rsidR="003F1688" w:rsidRDefault="003F1688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08515C" w:rsidRPr="004349F7" w:rsidRDefault="0008515C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Ex.2: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Dacă avem o persoană vârstnică 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>a cărui venit lunar este de 1500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lei, calculul se va face astfel:</w:t>
      </w:r>
    </w:p>
    <w:p w:rsidR="0008515C" w:rsidRPr="004349F7" w:rsidRDefault="0008515C" w:rsidP="004349F7">
      <w:pPr>
        <w:pStyle w:val="ListParagraph"/>
        <w:numPr>
          <w:ilvl w:val="0"/>
          <w:numId w:val="11"/>
        </w:num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i/>
          <w:sz w:val="24"/>
          <w:szCs w:val="24"/>
        </w:rPr>
        <w:t xml:space="preserve">Persoana vârstnică se încadrează în grijă la intervalul de venit: </w:t>
      </w:r>
      <w:r w:rsidR="005C58F0" w:rsidRPr="004349F7">
        <w:rPr>
          <w:rFonts w:ascii="Times New Roman" w:hAnsi="Times New Roman" w:cs="Times New Roman"/>
          <w:i/>
          <w:sz w:val="24"/>
          <w:szCs w:val="24"/>
          <w:u w:val="single"/>
        </w:rPr>
        <w:t>1265,5 lei -1897,5</w:t>
      </w:r>
      <w:r w:rsidRPr="004349F7">
        <w:rPr>
          <w:rFonts w:ascii="Times New Roman" w:hAnsi="Times New Roman" w:cs="Times New Roman"/>
          <w:i/>
          <w:sz w:val="24"/>
          <w:szCs w:val="24"/>
          <w:u w:val="single"/>
        </w:rPr>
        <w:t xml:space="preserve"> lei</w:t>
      </w:r>
      <w:r w:rsidRPr="004349F7">
        <w:rPr>
          <w:rFonts w:ascii="Times New Roman" w:hAnsi="Times New Roman" w:cs="Times New Roman"/>
          <w:i/>
          <w:sz w:val="24"/>
          <w:szCs w:val="24"/>
        </w:rPr>
        <w:t>, și, ca urmare va av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 xml:space="preserve">ea de plată ca și contribuție </w:t>
      </w:r>
      <w:r w:rsidR="005C58F0" w:rsidRPr="004349F7">
        <w:rPr>
          <w:rFonts w:ascii="Times New Roman" w:hAnsi="Times New Roman" w:cs="Times New Roman"/>
          <w:b/>
          <w:i/>
          <w:sz w:val="24"/>
          <w:szCs w:val="24"/>
        </w:rPr>
        <w:t>15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49F7">
        <w:rPr>
          <w:rFonts w:ascii="Times New Roman" w:hAnsi="Times New Roman" w:cs="Times New Roman"/>
          <w:b/>
          <w:i/>
          <w:sz w:val="24"/>
          <w:szCs w:val="24"/>
        </w:rPr>
        <w:t>lei/lună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>.</w:t>
      </w:r>
    </w:p>
    <w:p w:rsidR="003F1688" w:rsidRDefault="003F1688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08515C" w:rsidRPr="004349F7" w:rsidRDefault="0008515C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Ex.3: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Dacă avem o persoană vârstnică 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>a cărui venit lunar este de 2300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lei, calculul se va face astfel:</w:t>
      </w:r>
    </w:p>
    <w:p w:rsidR="0008515C" w:rsidRPr="004349F7" w:rsidRDefault="0008515C" w:rsidP="004349F7">
      <w:pPr>
        <w:pStyle w:val="ListParagraph"/>
        <w:numPr>
          <w:ilvl w:val="0"/>
          <w:numId w:val="11"/>
        </w:num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Persoana vârstnică se încadrează în grijă la intervalul de venit: </w:t>
      </w:r>
      <w:r w:rsidR="005C58F0" w:rsidRPr="004349F7">
        <w:rPr>
          <w:rFonts w:ascii="Times New Roman" w:hAnsi="Times New Roman" w:cs="Times New Roman"/>
          <w:b/>
          <w:noProof/>
          <w:sz w:val="24"/>
          <w:szCs w:val="24"/>
        </w:rPr>
        <w:t>1898 lei – 2530 lei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, și, ca urmare va avea de plată ca și contribuție 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>15 lei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="005C58F0" w:rsidRPr="004349F7">
        <w:rPr>
          <w:rFonts w:ascii="Times New Roman" w:hAnsi="Times New Roman" w:cs="Times New Roman"/>
          <w:i/>
          <w:sz w:val="24"/>
          <w:szCs w:val="24"/>
        </w:rPr>
        <w:t>23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lei, respectiv </w:t>
      </w:r>
      <w:r w:rsidR="005C58F0" w:rsidRPr="004349F7">
        <w:rPr>
          <w:rFonts w:ascii="Times New Roman" w:hAnsi="Times New Roman" w:cs="Times New Roman"/>
          <w:b/>
          <w:i/>
          <w:sz w:val="24"/>
          <w:szCs w:val="24"/>
        </w:rPr>
        <w:t>38</w:t>
      </w:r>
      <w:r w:rsidRPr="004349F7">
        <w:rPr>
          <w:rFonts w:ascii="Times New Roman" w:hAnsi="Times New Roman" w:cs="Times New Roman"/>
          <w:b/>
          <w:i/>
          <w:sz w:val="24"/>
          <w:szCs w:val="24"/>
        </w:rPr>
        <w:t xml:space="preserve"> lei/lună</w:t>
      </w:r>
    </w:p>
    <w:p w:rsidR="005C58F0" w:rsidRPr="004349F7" w:rsidRDefault="005C58F0" w:rsidP="004349F7">
      <w:pPr>
        <w:pStyle w:val="ListParagraph"/>
        <w:spacing w:after="0" w:afterAutospacing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b/>
          <w:i/>
          <w:sz w:val="24"/>
          <w:szCs w:val="24"/>
        </w:rPr>
        <w:t>Ex.4: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 Dacă avem o persoană vârstnică a cărui venit lunar este de 3100 lei, calculul se va face astfel:</w:t>
      </w:r>
    </w:p>
    <w:p w:rsidR="005C58F0" w:rsidRPr="004349F7" w:rsidRDefault="005C58F0" w:rsidP="004349F7">
      <w:pPr>
        <w:pStyle w:val="ListParagraph"/>
        <w:numPr>
          <w:ilvl w:val="0"/>
          <w:numId w:val="11"/>
        </w:num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349F7">
        <w:rPr>
          <w:rFonts w:ascii="Times New Roman" w:hAnsi="Times New Roman" w:cs="Times New Roman"/>
          <w:i/>
          <w:sz w:val="24"/>
          <w:szCs w:val="24"/>
        </w:rPr>
        <w:t xml:space="preserve">Persoana vârstnică se încadrează în grijă la intervalul de venit: </w:t>
      </w:r>
      <w:r w:rsidRPr="004349F7">
        <w:rPr>
          <w:rFonts w:ascii="Times New Roman" w:hAnsi="Times New Roman" w:cs="Times New Roman"/>
          <w:noProof/>
          <w:sz w:val="24"/>
          <w:szCs w:val="24"/>
        </w:rPr>
        <w:t xml:space="preserve">peste </w:t>
      </w:r>
      <w:r w:rsidRPr="004349F7">
        <w:rPr>
          <w:rFonts w:ascii="Times New Roman" w:hAnsi="Times New Roman" w:cs="Times New Roman"/>
          <w:b/>
          <w:noProof/>
          <w:sz w:val="24"/>
          <w:szCs w:val="24"/>
        </w:rPr>
        <w:t>2530,5 lei</w:t>
      </w:r>
      <w:r w:rsidRPr="004349F7">
        <w:rPr>
          <w:rFonts w:ascii="Times New Roman" w:hAnsi="Times New Roman" w:cs="Times New Roman"/>
          <w:i/>
          <w:sz w:val="24"/>
          <w:szCs w:val="24"/>
        </w:rPr>
        <w:t xml:space="preserve">, și, ca urmare va avea de plată ca și contribuție 15 lei + 62  lei, respectiv </w:t>
      </w:r>
      <w:r w:rsidRPr="004349F7">
        <w:rPr>
          <w:rFonts w:ascii="Times New Roman" w:hAnsi="Times New Roman" w:cs="Times New Roman"/>
          <w:b/>
          <w:i/>
          <w:sz w:val="24"/>
          <w:szCs w:val="24"/>
        </w:rPr>
        <w:t>77 lei/lună</w:t>
      </w:r>
    </w:p>
    <w:p w:rsidR="0008515C" w:rsidRPr="004349F7" w:rsidRDefault="0008515C" w:rsidP="004349F7">
      <w:pPr>
        <w:spacing w:after="0" w:afterAutospacing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 xml:space="preserve"> Director general </w:t>
      </w:r>
    </w:p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>Jr. Rodica Surducan</w:t>
      </w:r>
    </w:p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5D2F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>Director general adjunct</w:t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7D4636" w:rsidRPr="004349F7" w:rsidRDefault="007D4636" w:rsidP="004349F7">
      <w:pPr>
        <w:spacing w:after="0" w:afterAutospacing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>Marius-Cosmin Murariu</w:t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Pr="004349F7">
        <w:rPr>
          <w:rFonts w:ascii="Times New Roman" w:hAnsi="Times New Roman" w:cs="Times New Roman"/>
          <w:b/>
          <w:sz w:val="24"/>
          <w:szCs w:val="24"/>
        </w:rPr>
        <w:tab/>
      </w:r>
      <w:r w:rsidR="00C25D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349F7">
        <w:rPr>
          <w:rFonts w:ascii="Times New Roman" w:hAnsi="Times New Roman" w:cs="Times New Roman"/>
          <w:b/>
          <w:sz w:val="24"/>
          <w:szCs w:val="24"/>
        </w:rPr>
        <w:t xml:space="preserve">Șef centru </w:t>
      </w:r>
    </w:p>
    <w:p w:rsidR="007D4636" w:rsidRPr="004349F7" w:rsidRDefault="007D4636" w:rsidP="004349F7">
      <w:pPr>
        <w:spacing w:after="0" w:afterAutospacing="0" w:line="36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4349F7">
        <w:rPr>
          <w:rFonts w:ascii="Times New Roman" w:hAnsi="Times New Roman" w:cs="Times New Roman"/>
          <w:b/>
          <w:sz w:val="24"/>
          <w:szCs w:val="24"/>
        </w:rPr>
        <w:t xml:space="preserve">Gabriela Teslaru </w:t>
      </w:r>
    </w:p>
    <w:p w:rsidR="007D4636" w:rsidRPr="004349F7" w:rsidRDefault="007D4636" w:rsidP="004349F7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sectPr w:rsidR="007D4636" w:rsidRPr="004349F7" w:rsidSect="005006DE">
      <w:headerReference w:type="default" r:id="rId8"/>
      <w:footerReference w:type="default" r:id="rId9"/>
      <w:pgSz w:w="11906" w:h="16838"/>
      <w:pgMar w:top="820" w:right="1286" w:bottom="993" w:left="1170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3DD" w:rsidRDefault="00C303DD" w:rsidP="00DC4514">
      <w:pPr>
        <w:spacing w:after="0"/>
      </w:pPr>
      <w:r>
        <w:separator/>
      </w:r>
    </w:p>
  </w:endnote>
  <w:endnote w:type="continuationSeparator" w:id="1">
    <w:p w:rsidR="00C303DD" w:rsidRDefault="00C303DD" w:rsidP="00DC45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2F" w:rsidRDefault="001305A1" w:rsidP="00C25D2F">
    <w:pPr>
      <w:pStyle w:val="NoSpacing"/>
      <w:ind w:left="-142"/>
      <w:jc w:val="center"/>
      <w:rPr>
        <w:rFonts w:ascii="Times New Roman" w:hAnsi="Times New Roman"/>
      </w:rPr>
    </w:pPr>
    <w:r w:rsidRPr="001305A1">
      <w:rPr>
        <w:rFonts w:ascii="Times New Roman" w:hAnsi="Times New Roman"/>
        <w:noProof/>
      </w:rPr>
      <w:pict>
        <v:roundrect id="_x0000_s16386" style="position:absolute;left:0;text-align:left;margin-left:-47.3pt;margin-top:9.05pt;width:557.85pt;height:63.75pt;z-index:-251652096" arcsize="10923f"/>
      </w:pict>
    </w:r>
  </w:p>
  <w:p w:rsidR="00C25D2F" w:rsidRPr="00D22B6E" w:rsidRDefault="00C25D2F" w:rsidP="00C25D2F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*Sediu administrativ: S</w:t>
    </w:r>
    <w:r>
      <w:rPr>
        <w:rFonts w:ascii="Times New Roman" w:hAnsi="Times New Roman"/>
      </w:rPr>
      <w:t>tr. Ioan Plavosin Nr. 21 Tel</w:t>
    </w:r>
    <w:r w:rsidRPr="00D22B6E">
      <w:rPr>
        <w:rFonts w:ascii="Times New Roman" w:hAnsi="Times New Roman"/>
      </w:rPr>
      <w:t xml:space="preserve">: </w:t>
    </w:r>
    <w:r>
      <w:rPr>
        <w:rFonts w:ascii="Times New Roman" w:hAnsi="Times New Roman"/>
      </w:rPr>
      <w:t>0356/416050 Fax: 0356/416049</w:t>
    </w:r>
    <w:r w:rsidRPr="00D22B6E">
      <w:rPr>
        <w:rFonts w:ascii="Times New Roman" w:hAnsi="Times New Roman"/>
      </w:rPr>
      <w:t xml:space="preserve"> </w:t>
    </w:r>
  </w:p>
  <w:p w:rsidR="00C25D2F" w:rsidRPr="00D22B6E" w:rsidRDefault="00C25D2F" w:rsidP="00C25D2F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C25D2F" w:rsidRPr="00D22B6E" w:rsidRDefault="00C25D2F" w:rsidP="00C25D2F">
    <w:pPr>
      <w:pStyle w:val="NoSpacing"/>
      <w:jc w:val="center"/>
      <w:rPr>
        <w:rFonts w:ascii="Times New Roman" w:hAnsi="Times New Roman"/>
      </w:rPr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2378710</wp:posOffset>
          </wp:positionH>
          <wp:positionV relativeFrom="paragraph">
            <wp:posOffset>101600</wp:posOffset>
          </wp:positionV>
          <wp:extent cx="1939290" cy="293370"/>
          <wp:effectExtent l="19050" t="0" r="3810" b="0"/>
          <wp:wrapNone/>
          <wp:docPr id="4" name="Picture 2" descr="logo3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3 20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2B6E">
      <w:rPr>
        <w:rFonts w:ascii="Times New Roman" w:hAnsi="Times New Roman"/>
      </w:rPr>
      <w:t xml:space="preserve">e-mail: </w:t>
    </w:r>
    <w:r>
      <w:rPr>
        <w:rFonts w:ascii="Times New Roman" w:hAnsi="Times New Roman"/>
      </w:rPr>
      <w:t>dastimisoara@gmail.com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3DD" w:rsidRDefault="00C303DD" w:rsidP="00DC4514">
      <w:pPr>
        <w:spacing w:after="0"/>
      </w:pPr>
      <w:r>
        <w:separator/>
      </w:r>
    </w:p>
  </w:footnote>
  <w:footnote w:type="continuationSeparator" w:id="1">
    <w:p w:rsidR="00C303DD" w:rsidRDefault="00C303DD" w:rsidP="00DC45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9F7" w:rsidRPr="00D22B6E" w:rsidRDefault="004349F7" w:rsidP="004349F7">
    <w:pPr>
      <w:pStyle w:val="NoSpacing"/>
      <w:ind w:left="-284"/>
      <w:jc w:val="center"/>
      <w:rPr>
        <w:rFonts w:ascii="Times New Roman" w:hAnsi="Times New Roman"/>
        <w:i/>
        <w:sz w:val="24"/>
        <w:szCs w:val="24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5676265</wp:posOffset>
          </wp:positionH>
          <wp:positionV relativeFrom="paragraph">
            <wp:posOffset>26670</wp:posOffset>
          </wp:positionV>
          <wp:extent cx="741045" cy="923925"/>
          <wp:effectExtent l="19050" t="0" r="1905" b="0"/>
          <wp:wrapNone/>
          <wp:docPr id="2" name="Picture 1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-400685</wp:posOffset>
          </wp:positionH>
          <wp:positionV relativeFrom="paragraph">
            <wp:posOffset>-20955</wp:posOffset>
          </wp:positionV>
          <wp:extent cx="741045" cy="1038225"/>
          <wp:effectExtent l="19050" t="0" r="1905" b="0"/>
          <wp:wrapNone/>
          <wp:docPr id="3" name="Picture 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05A1" w:rsidRPr="001305A1">
      <w:rPr>
        <w:rFonts w:ascii="Calibri" w:hAnsi="Calibri"/>
        <w:noProof/>
      </w:rPr>
      <w:pict>
        <v:roundrect id="_x0000_s16385" style="position:absolute;left:0;text-align:left;margin-left:-49.55pt;margin-top:-3.55pt;width:557.85pt;height:92.9pt;z-index:-251656192;mso-position-horizontal-relative:text;mso-position-vertical-relative:text" arcsize="10923f"/>
      </w:pict>
    </w: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4349F7" w:rsidRDefault="004349F7" w:rsidP="004349F7">
    <w:pPr>
      <w:pStyle w:val="NoSpacing"/>
      <w:tabs>
        <w:tab w:val="left" w:pos="3045"/>
      </w:tabs>
      <w:jc w:val="center"/>
      <w:rPr>
        <w:rFonts w:ascii="Times New Roman" w:hAnsi="Times New Roman"/>
        <w:b/>
      </w:rPr>
    </w:pPr>
  </w:p>
  <w:p w:rsidR="004349F7" w:rsidRPr="003C6D5E" w:rsidRDefault="004349F7" w:rsidP="004349F7">
    <w:pPr>
      <w:pStyle w:val="NoSpacing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    </w:t>
    </w:r>
    <w:r w:rsidRPr="003C6D5E">
      <w:rPr>
        <w:rFonts w:ascii="Times New Roman" w:hAnsi="Times New Roman"/>
        <w:b/>
      </w:rPr>
      <w:t>DIRECȚIA DE ASISTENȚĂ SOCIALĂ A MUNICIPIULUI TIMIȘOARA</w:t>
    </w:r>
  </w:p>
  <w:p w:rsidR="004349F7" w:rsidRPr="00A15152" w:rsidRDefault="004349F7" w:rsidP="004349F7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       </w:t>
    </w:r>
    <w:r w:rsidRPr="00A15152">
      <w:rPr>
        <w:rFonts w:ascii="Times New Roman" w:hAnsi="Times New Roman"/>
        <w:sz w:val="24"/>
        <w:szCs w:val="24"/>
      </w:rPr>
      <w:t>Complexul de Servicii pentru Persoane Vârstnice ”Sf.Arh.Mihail și Gavril”</w:t>
    </w:r>
  </w:p>
  <w:p w:rsidR="004349F7" w:rsidRPr="00A15152" w:rsidRDefault="004349F7" w:rsidP="004349F7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A15152">
      <w:rPr>
        <w:rFonts w:ascii="Times New Roman" w:hAnsi="Times New Roman"/>
        <w:sz w:val="24"/>
        <w:szCs w:val="24"/>
      </w:rPr>
      <w:t>Compartimentul de Îngrijire la Domiciliu</w:t>
    </w:r>
    <w:r w:rsidRPr="00A15152">
      <w:rPr>
        <w:rFonts w:ascii="Times New Roman" w:hAnsi="Times New Roman"/>
        <w:sz w:val="24"/>
        <w:szCs w:val="24"/>
      </w:rPr>
      <w:tab/>
    </w:r>
  </w:p>
  <w:p w:rsidR="004349F7" w:rsidRDefault="004349F7" w:rsidP="004349F7">
    <w:pPr>
      <w:pStyle w:val="NoSpacing"/>
      <w:tabs>
        <w:tab w:val="left" w:pos="1035"/>
        <w:tab w:val="center" w:pos="5315"/>
      </w:tabs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ab/>
      <w:t xml:space="preserve">                                          ,,În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4349F7" w:rsidRDefault="004349F7" w:rsidP="004349F7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503"/>
    <w:multiLevelType w:val="hybridMultilevel"/>
    <w:tmpl w:val="60FE8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B7D7E"/>
    <w:multiLevelType w:val="hybridMultilevel"/>
    <w:tmpl w:val="CD164F38"/>
    <w:lvl w:ilvl="0" w:tplc="0C009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C22CA"/>
    <w:multiLevelType w:val="hybridMultilevel"/>
    <w:tmpl w:val="ECFE6B66"/>
    <w:lvl w:ilvl="0" w:tplc="83442842">
      <w:start w:val="19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108B"/>
    <w:multiLevelType w:val="hybridMultilevel"/>
    <w:tmpl w:val="46B03392"/>
    <w:lvl w:ilvl="0" w:tplc="A844AB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73558"/>
    <w:multiLevelType w:val="hybridMultilevel"/>
    <w:tmpl w:val="46582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404FD"/>
    <w:multiLevelType w:val="hybridMultilevel"/>
    <w:tmpl w:val="3760C860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97A4A40"/>
    <w:multiLevelType w:val="hybridMultilevel"/>
    <w:tmpl w:val="B4D4D4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943CB"/>
    <w:multiLevelType w:val="hybridMultilevel"/>
    <w:tmpl w:val="F24CE7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05ED1"/>
    <w:multiLevelType w:val="hybridMultilevel"/>
    <w:tmpl w:val="79A4F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3533CA"/>
    <w:multiLevelType w:val="hybridMultilevel"/>
    <w:tmpl w:val="A17E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16042"/>
    <w:multiLevelType w:val="hybridMultilevel"/>
    <w:tmpl w:val="9600F932"/>
    <w:lvl w:ilvl="0" w:tplc="30DE0D96">
      <w:start w:val="19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87385"/>
    <w:multiLevelType w:val="hybridMultilevel"/>
    <w:tmpl w:val="11CE5C9E"/>
    <w:lvl w:ilvl="0" w:tplc="BBC8947E">
      <w:start w:val="19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5012B"/>
    <w:multiLevelType w:val="hybridMultilevel"/>
    <w:tmpl w:val="0F62673A"/>
    <w:lvl w:ilvl="0" w:tplc="E9C26C3E">
      <w:start w:val="18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2"/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5602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/>
  <w:rsids>
    <w:rsidRoot w:val="00776222"/>
    <w:rsid w:val="0000222F"/>
    <w:rsid w:val="000061A3"/>
    <w:rsid w:val="00007A05"/>
    <w:rsid w:val="0002297E"/>
    <w:rsid w:val="00035A6C"/>
    <w:rsid w:val="00046614"/>
    <w:rsid w:val="000757DF"/>
    <w:rsid w:val="000765D7"/>
    <w:rsid w:val="0008515C"/>
    <w:rsid w:val="0009406A"/>
    <w:rsid w:val="000A350F"/>
    <w:rsid w:val="000A537B"/>
    <w:rsid w:val="000A75C0"/>
    <w:rsid w:val="000B19DF"/>
    <w:rsid w:val="000B4CED"/>
    <w:rsid w:val="000C786A"/>
    <w:rsid w:val="000D3B83"/>
    <w:rsid w:val="000D7868"/>
    <w:rsid w:val="000E2CEC"/>
    <w:rsid w:val="000F5DCD"/>
    <w:rsid w:val="00104654"/>
    <w:rsid w:val="0010539A"/>
    <w:rsid w:val="001072F2"/>
    <w:rsid w:val="00107773"/>
    <w:rsid w:val="001305A1"/>
    <w:rsid w:val="00140A7B"/>
    <w:rsid w:val="00144621"/>
    <w:rsid w:val="001500EF"/>
    <w:rsid w:val="00165783"/>
    <w:rsid w:val="0017616F"/>
    <w:rsid w:val="00182F3C"/>
    <w:rsid w:val="001A081B"/>
    <w:rsid w:val="001A37A6"/>
    <w:rsid w:val="001B2EC4"/>
    <w:rsid w:val="001B565E"/>
    <w:rsid w:val="001B5834"/>
    <w:rsid w:val="001D5FB4"/>
    <w:rsid w:val="001E37B7"/>
    <w:rsid w:val="001E5752"/>
    <w:rsid w:val="001F4275"/>
    <w:rsid w:val="001F4F80"/>
    <w:rsid w:val="00206B59"/>
    <w:rsid w:val="00207509"/>
    <w:rsid w:val="0023199B"/>
    <w:rsid w:val="00253096"/>
    <w:rsid w:val="0025536F"/>
    <w:rsid w:val="00255F6D"/>
    <w:rsid w:val="00257CA2"/>
    <w:rsid w:val="00264906"/>
    <w:rsid w:val="0026534E"/>
    <w:rsid w:val="0026795C"/>
    <w:rsid w:val="00274501"/>
    <w:rsid w:val="002800E6"/>
    <w:rsid w:val="002B1816"/>
    <w:rsid w:val="002B1F08"/>
    <w:rsid w:val="002E5682"/>
    <w:rsid w:val="002F013C"/>
    <w:rsid w:val="003037C0"/>
    <w:rsid w:val="00303AC3"/>
    <w:rsid w:val="00305CF3"/>
    <w:rsid w:val="00313347"/>
    <w:rsid w:val="0033397C"/>
    <w:rsid w:val="00334876"/>
    <w:rsid w:val="003362D3"/>
    <w:rsid w:val="00347576"/>
    <w:rsid w:val="003507FB"/>
    <w:rsid w:val="00354E64"/>
    <w:rsid w:val="00355A42"/>
    <w:rsid w:val="0035620B"/>
    <w:rsid w:val="00356DDD"/>
    <w:rsid w:val="00365265"/>
    <w:rsid w:val="00365CE6"/>
    <w:rsid w:val="00366968"/>
    <w:rsid w:val="00372F43"/>
    <w:rsid w:val="0037312A"/>
    <w:rsid w:val="003759DE"/>
    <w:rsid w:val="00382246"/>
    <w:rsid w:val="00382686"/>
    <w:rsid w:val="00387D37"/>
    <w:rsid w:val="00391506"/>
    <w:rsid w:val="003A24AF"/>
    <w:rsid w:val="003A307C"/>
    <w:rsid w:val="003A3C46"/>
    <w:rsid w:val="003B5CEC"/>
    <w:rsid w:val="003C03AA"/>
    <w:rsid w:val="003C271D"/>
    <w:rsid w:val="003C5124"/>
    <w:rsid w:val="003E30E9"/>
    <w:rsid w:val="003F1688"/>
    <w:rsid w:val="003F3289"/>
    <w:rsid w:val="003F64CD"/>
    <w:rsid w:val="004003E8"/>
    <w:rsid w:val="00413C47"/>
    <w:rsid w:val="00422B09"/>
    <w:rsid w:val="00427677"/>
    <w:rsid w:val="00434954"/>
    <w:rsid w:val="004349F7"/>
    <w:rsid w:val="00435654"/>
    <w:rsid w:val="0043755E"/>
    <w:rsid w:val="00446519"/>
    <w:rsid w:val="0045421A"/>
    <w:rsid w:val="004554E4"/>
    <w:rsid w:val="00456B0F"/>
    <w:rsid w:val="00467246"/>
    <w:rsid w:val="004674CA"/>
    <w:rsid w:val="00474D6E"/>
    <w:rsid w:val="004A2092"/>
    <w:rsid w:val="004A423C"/>
    <w:rsid w:val="004B1E0A"/>
    <w:rsid w:val="004B375F"/>
    <w:rsid w:val="004B4209"/>
    <w:rsid w:val="004B570D"/>
    <w:rsid w:val="004B7ABB"/>
    <w:rsid w:val="004C1B58"/>
    <w:rsid w:val="004E2512"/>
    <w:rsid w:val="004E27F4"/>
    <w:rsid w:val="004E3751"/>
    <w:rsid w:val="004E5A76"/>
    <w:rsid w:val="004F09CF"/>
    <w:rsid w:val="004F5A5A"/>
    <w:rsid w:val="005006DE"/>
    <w:rsid w:val="00502186"/>
    <w:rsid w:val="00502D33"/>
    <w:rsid w:val="00505BCA"/>
    <w:rsid w:val="00506F5F"/>
    <w:rsid w:val="00513CAB"/>
    <w:rsid w:val="0052318C"/>
    <w:rsid w:val="00542E07"/>
    <w:rsid w:val="00543FE2"/>
    <w:rsid w:val="00544E82"/>
    <w:rsid w:val="0055479B"/>
    <w:rsid w:val="00557227"/>
    <w:rsid w:val="0055735C"/>
    <w:rsid w:val="0057073A"/>
    <w:rsid w:val="00581B74"/>
    <w:rsid w:val="00593C2E"/>
    <w:rsid w:val="00597583"/>
    <w:rsid w:val="005B21CF"/>
    <w:rsid w:val="005C58F0"/>
    <w:rsid w:val="005E1753"/>
    <w:rsid w:val="005E1E1C"/>
    <w:rsid w:val="005E1F08"/>
    <w:rsid w:val="005E45D5"/>
    <w:rsid w:val="005E52B2"/>
    <w:rsid w:val="005E6639"/>
    <w:rsid w:val="005F1E8C"/>
    <w:rsid w:val="005F2E84"/>
    <w:rsid w:val="005F62F4"/>
    <w:rsid w:val="005F75DD"/>
    <w:rsid w:val="00602663"/>
    <w:rsid w:val="00603AC5"/>
    <w:rsid w:val="0061405F"/>
    <w:rsid w:val="00623354"/>
    <w:rsid w:val="00625BE4"/>
    <w:rsid w:val="00626564"/>
    <w:rsid w:val="0064501C"/>
    <w:rsid w:val="006556D6"/>
    <w:rsid w:val="00672A49"/>
    <w:rsid w:val="0067453E"/>
    <w:rsid w:val="0069056A"/>
    <w:rsid w:val="006905D3"/>
    <w:rsid w:val="00690707"/>
    <w:rsid w:val="006937F2"/>
    <w:rsid w:val="00697116"/>
    <w:rsid w:val="006A033A"/>
    <w:rsid w:val="006C3F6C"/>
    <w:rsid w:val="006C63AF"/>
    <w:rsid w:val="006C7247"/>
    <w:rsid w:val="006E0DC9"/>
    <w:rsid w:val="006E56A4"/>
    <w:rsid w:val="00715C6C"/>
    <w:rsid w:val="00716F13"/>
    <w:rsid w:val="007217EA"/>
    <w:rsid w:val="0072373D"/>
    <w:rsid w:val="0072533C"/>
    <w:rsid w:val="00734DAC"/>
    <w:rsid w:val="00736295"/>
    <w:rsid w:val="00745B11"/>
    <w:rsid w:val="0075628E"/>
    <w:rsid w:val="00762EEF"/>
    <w:rsid w:val="0077283A"/>
    <w:rsid w:val="00772AFE"/>
    <w:rsid w:val="00776222"/>
    <w:rsid w:val="007777DF"/>
    <w:rsid w:val="00783297"/>
    <w:rsid w:val="00790C1C"/>
    <w:rsid w:val="007A61AB"/>
    <w:rsid w:val="007B071C"/>
    <w:rsid w:val="007B221C"/>
    <w:rsid w:val="007B77DC"/>
    <w:rsid w:val="007C359D"/>
    <w:rsid w:val="007C4106"/>
    <w:rsid w:val="007C5D45"/>
    <w:rsid w:val="007C6B0E"/>
    <w:rsid w:val="007D0882"/>
    <w:rsid w:val="007D1ECE"/>
    <w:rsid w:val="007D4636"/>
    <w:rsid w:val="007D50FA"/>
    <w:rsid w:val="007E0DAA"/>
    <w:rsid w:val="007E0EA7"/>
    <w:rsid w:val="007E4CBF"/>
    <w:rsid w:val="0082075C"/>
    <w:rsid w:val="00833996"/>
    <w:rsid w:val="00842777"/>
    <w:rsid w:val="00854CA4"/>
    <w:rsid w:val="00862A5A"/>
    <w:rsid w:val="00875EE3"/>
    <w:rsid w:val="00877111"/>
    <w:rsid w:val="00895C0A"/>
    <w:rsid w:val="008A1F51"/>
    <w:rsid w:val="008A417A"/>
    <w:rsid w:val="008B55ED"/>
    <w:rsid w:val="008B605E"/>
    <w:rsid w:val="008D1950"/>
    <w:rsid w:val="008D414C"/>
    <w:rsid w:val="008D61EF"/>
    <w:rsid w:val="008E794D"/>
    <w:rsid w:val="009009B4"/>
    <w:rsid w:val="00905AC2"/>
    <w:rsid w:val="00906918"/>
    <w:rsid w:val="00914EFD"/>
    <w:rsid w:val="009301F7"/>
    <w:rsid w:val="00930C2E"/>
    <w:rsid w:val="0093502B"/>
    <w:rsid w:val="0094419B"/>
    <w:rsid w:val="00946EDB"/>
    <w:rsid w:val="0095512B"/>
    <w:rsid w:val="00960494"/>
    <w:rsid w:val="009C2C67"/>
    <w:rsid w:val="009C3807"/>
    <w:rsid w:val="009D05AA"/>
    <w:rsid w:val="009D0B6D"/>
    <w:rsid w:val="009D51B5"/>
    <w:rsid w:val="009E05DE"/>
    <w:rsid w:val="009E2360"/>
    <w:rsid w:val="009F2333"/>
    <w:rsid w:val="00A03531"/>
    <w:rsid w:val="00A03D68"/>
    <w:rsid w:val="00A05C97"/>
    <w:rsid w:val="00A07E2F"/>
    <w:rsid w:val="00A106D0"/>
    <w:rsid w:val="00A20812"/>
    <w:rsid w:val="00A22E65"/>
    <w:rsid w:val="00A46E84"/>
    <w:rsid w:val="00A62514"/>
    <w:rsid w:val="00A6265D"/>
    <w:rsid w:val="00A651F9"/>
    <w:rsid w:val="00A71894"/>
    <w:rsid w:val="00A8078F"/>
    <w:rsid w:val="00A82088"/>
    <w:rsid w:val="00A866CC"/>
    <w:rsid w:val="00AD0958"/>
    <w:rsid w:val="00AD0BEA"/>
    <w:rsid w:val="00AD4655"/>
    <w:rsid w:val="00AD6D12"/>
    <w:rsid w:val="00AD6E66"/>
    <w:rsid w:val="00AE12E9"/>
    <w:rsid w:val="00AE1A7D"/>
    <w:rsid w:val="00AF063D"/>
    <w:rsid w:val="00AF4146"/>
    <w:rsid w:val="00AF5688"/>
    <w:rsid w:val="00B03B24"/>
    <w:rsid w:val="00B14479"/>
    <w:rsid w:val="00B33E36"/>
    <w:rsid w:val="00B52279"/>
    <w:rsid w:val="00B55145"/>
    <w:rsid w:val="00B57DA2"/>
    <w:rsid w:val="00B71997"/>
    <w:rsid w:val="00B7587B"/>
    <w:rsid w:val="00B7763F"/>
    <w:rsid w:val="00B8546F"/>
    <w:rsid w:val="00BA4698"/>
    <w:rsid w:val="00BC3045"/>
    <w:rsid w:val="00BE01D7"/>
    <w:rsid w:val="00BF1F1B"/>
    <w:rsid w:val="00BF58A2"/>
    <w:rsid w:val="00C00239"/>
    <w:rsid w:val="00C25D2F"/>
    <w:rsid w:val="00C303DD"/>
    <w:rsid w:val="00C3635F"/>
    <w:rsid w:val="00C42C71"/>
    <w:rsid w:val="00C4606D"/>
    <w:rsid w:val="00C53C92"/>
    <w:rsid w:val="00C61783"/>
    <w:rsid w:val="00C64AD5"/>
    <w:rsid w:val="00C7248E"/>
    <w:rsid w:val="00C76C03"/>
    <w:rsid w:val="00C87BB4"/>
    <w:rsid w:val="00C952A4"/>
    <w:rsid w:val="00CA031C"/>
    <w:rsid w:val="00CA112E"/>
    <w:rsid w:val="00CA209B"/>
    <w:rsid w:val="00CA4173"/>
    <w:rsid w:val="00CA6CB3"/>
    <w:rsid w:val="00CB1CB0"/>
    <w:rsid w:val="00CB2E1B"/>
    <w:rsid w:val="00CB384E"/>
    <w:rsid w:val="00CC10BC"/>
    <w:rsid w:val="00CD755F"/>
    <w:rsid w:val="00CE0FC9"/>
    <w:rsid w:val="00CE278A"/>
    <w:rsid w:val="00CE30DA"/>
    <w:rsid w:val="00CE7CF1"/>
    <w:rsid w:val="00CF188B"/>
    <w:rsid w:val="00CF4E66"/>
    <w:rsid w:val="00D03EF2"/>
    <w:rsid w:val="00D05F36"/>
    <w:rsid w:val="00D0753B"/>
    <w:rsid w:val="00D23D82"/>
    <w:rsid w:val="00D27BF3"/>
    <w:rsid w:val="00D73D75"/>
    <w:rsid w:val="00DA2D62"/>
    <w:rsid w:val="00DA6FBA"/>
    <w:rsid w:val="00DA77A6"/>
    <w:rsid w:val="00DB6AC0"/>
    <w:rsid w:val="00DC3C77"/>
    <w:rsid w:val="00DC4514"/>
    <w:rsid w:val="00DC57FA"/>
    <w:rsid w:val="00DD02C4"/>
    <w:rsid w:val="00DD108F"/>
    <w:rsid w:val="00DD4889"/>
    <w:rsid w:val="00DD554C"/>
    <w:rsid w:val="00DE2FAD"/>
    <w:rsid w:val="00DE37E9"/>
    <w:rsid w:val="00DE7428"/>
    <w:rsid w:val="00DE7F6A"/>
    <w:rsid w:val="00DF3E22"/>
    <w:rsid w:val="00E028B7"/>
    <w:rsid w:val="00E11987"/>
    <w:rsid w:val="00E3627D"/>
    <w:rsid w:val="00E37388"/>
    <w:rsid w:val="00E4316C"/>
    <w:rsid w:val="00E54844"/>
    <w:rsid w:val="00E6313D"/>
    <w:rsid w:val="00E67AC0"/>
    <w:rsid w:val="00E7129C"/>
    <w:rsid w:val="00E72E29"/>
    <w:rsid w:val="00E76E9D"/>
    <w:rsid w:val="00E77E15"/>
    <w:rsid w:val="00E879E6"/>
    <w:rsid w:val="00E922F6"/>
    <w:rsid w:val="00E95B13"/>
    <w:rsid w:val="00E95E14"/>
    <w:rsid w:val="00EA0DD0"/>
    <w:rsid w:val="00EB2C9A"/>
    <w:rsid w:val="00EB4C86"/>
    <w:rsid w:val="00EB6A3D"/>
    <w:rsid w:val="00EB6EC1"/>
    <w:rsid w:val="00EC504F"/>
    <w:rsid w:val="00EE08D2"/>
    <w:rsid w:val="00EE5EA9"/>
    <w:rsid w:val="00EF0027"/>
    <w:rsid w:val="00F11117"/>
    <w:rsid w:val="00F2392F"/>
    <w:rsid w:val="00F24AF9"/>
    <w:rsid w:val="00F40E9B"/>
    <w:rsid w:val="00F43FC6"/>
    <w:rsid w:val="00F45891"/>
    <w:rsid w:val="00F70037"/>
    <w:rsid w:val="00F70EBD"/>
    <w:rsid w:val="00F73521"/>
    <w:rsid w:val="00F857F7"/>
    <w:rsid w:val="00FA30EF"/>
    <w:rsid w:val="00FA48E6"/>
    <w:rsid w:val="00FA7F1A"/>
    <w:rsid w:val="00FB07EC"/>
    <w:rsid w:val="00FB2C58"/>
    <w:rsid w:val="00FB49CA"/>
    <w:rsid w:val="00FC4136"/>
    <w:rsid w:val="00FD08E2"/>
    <w:rsid w:val="00FD1422"/>
    <w:rsid w:val="00FD3166"/>
    <w:rsid w:val="00FD5A85"/>
    <w:rsid w:val="00FF1943"/>
    <w:rsid w:val="00FF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22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DC45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6F13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6F13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PageNumber">
    <w:name w:val="page number"/>
    <w:basedOn w:val="DefaultParagraphFont"/>
    <w:uiPriority w:val="99"/>
    <w:unhideWhenUsed/>
    <w:rsid w:val="00CE7CF1"/>
  </w:style>
  <w:style w:type="character" w:customStyle="1" w:styleId="NoSpacingChar">
    <w:name w:val="No Spacing Char"/>
    <w:link w:val="NoSpacing"/>
    <w:uiPriority w:val="1"/>
    <w:rsid w:val="0094419B"/>
    <w:rPr>
      <w:rFonts w:asciiTheme="minorHAnsi" w:eastAsiaTheme="minorEastAsia" w:hAnsiTheme="minorHAnsi" w:cstheme="minorBidi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5DE"/>
    <w:pPr>
      <w:spacing w:after="100" w:afterAutospacing="1"/>
      <w:jc w:val="both"/>
    </w:pPr>
    <w:rPr>
      <w:rFonts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7762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DC4514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DC4514"/>
    <w:rPr>
      <w:rFonts w:cs="Calibri"/>
      <w:sz w:val="20"/>
      <w:szCs w:val="20"/>
      <w:lang w:val="ro-RO"/>
    </w:rPr>
  </w:style>
  <w:style w:type="character" w:styleId="Referinnotdefinal">
    <w:name w:val="endnote reference"/>
    <w:basedOn w:val="Fontdeparagrafimplicit"/>
    <w:uiPriority w:val="99"/>
    <w:semiHidden/>
    <w:unhideWhenUsed/>
    <w:rsid w:val="00DC4514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716F13"/>
    <w:rPr>
      <w:rFonts w:cs="Calibri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16F13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716F13"/>
    <w:rPr>
      <w:rFonts w:cs="Calibri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16F1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16F13"/>
    <w:rPr>
      <w:rFonts w:ascii="Tahoma" w:hAnsi="Tahoma" w:cs="Tahoma"/>
      <w:sz w:val="16"/>
      <w:szCs w:val="16"/>
      <w:lang w:val="ro-RO"/>
    </w:rPr>
  </w:style>
  <w:style w:type="paragraph" w:styleId="Listparagraf">
    <w:name w:val="List Paragraph"/>
    <w:basedOn w:val="Normal"/>
    <w:uiPriority w:val="34"/>
    <w:qFormat/>
    <w:rsid w:val="003037C0"/>
    <w:pPr>
      <w:ind w:left="720"/>
      <w:contextualSpacing/>
    </w:pPr>
  </w:style>
  <w:style w:type="paragraph" w:styleId="Frspaiere">
    <w:name w:val="No Spacing"/>
    <w:uiPriority w:val="1"/>
    <w:qFormat/>
    <w:rsid w:val="003C5124"/>
    <w:rPr>
      <w:rFonts w:asciiTheme="minorHAnsi" w:eastAsiaTheme="minorEastAsia" w:hAnsiTheme="minorHAnsi" w:cstheme="minorBidi"/>
      <w:lang w:val="ro-RO" w:eastAsia="ro-RO"/>
    </w:rPr>
  </w:style>
  <w:style w:type="character" w:styleId="Numrdepagin">
    <w:name w:val="page number"/>
    <w:basedOn w:val="Fontdeparagrafimplicit"/>
    <w:uiPriority w:val="99"/>
    <w:unhideWhenUsed/>
    <w:rsid w:val="00CE7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003E-3BCA-4F43-BF7A-A9891C78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TIMIȘOARA</vt:lpstr>
      <vt:lpstr>CONSILIUL LOCAL AL MUNICIPIULUI TIMIȘOARA</vt:lpstr>
    </vt:vector>
  </TitlesOfParts>
  <Company>Grizli777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TIMIȘOARA</dc:title>
  <dc:creator>Ciupa-Rad</dc:creator>
  <cp:lastModifiedBy>Gabi Teslaru</cp:lastModifiedBy>
  <cp:revision>11</cp:revision>
  <cp:lastPrinted>2017-10-04T08:08:00Z</cp:lastPrinted>
  <dcterms:created xsi:type="dcterms:W3CDTF">2020-06-09T10:50:00Z</dcterms:created>
  <dcterms:modified xsi:type="dcterms:W3CDTF">2020-07-03T06:14:00Z</dcterms:modified>
</cp:coreProperties>
</file>