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3E" w:rsidRPr="006A42C3" w:rsidRDefault="002F703E" w:rsidP="00F94198">
      <w:pPr>
        <w:jc w:val="both"/>
        <w:rPr>
          <w:b/>
          <w:sz w:val="24"/>
          <w:szCs w:val="24"/>
          <w:lang w:val="it-IT"/>
        </w:rPr>
      </w:pPr>
      <w:r w:rsidRPr="006A42C3">
        <w:rPr>
          <w:b/>
          <w:sz w:val="24"/>
          <w:szCs w:val="24"/>
          <w:lang w:val="it-IT"/>
        </w:rPr>
        <w:t xml:space="preserve">ROMĂNIA                                                                                                                                                                                             PRIMAR                         </w:t>
      </w:r>
    </w:p>
    <w:p w:rsidR="002F703E" w:rsidRPr="006A42C3" w:rsidRDefault="002F703E" w:rsidP="00F94198">
      <w:pPr>
        <w:jc w:val="both"/>
        <w:rPr>
          <w:b/>
          <w:sz w:val="24"/>
          <w:szCs w:val="24"/>
          <w:lang w:val="it-IT"/>
        </w:rPr>
      </w:pPr>
      <w:r w:rsidRPr="006A42C3">
        <w:rPr>
          <w:b/>
          <w:sz w:val="24"/>
          <w:szCs w:val="24"/>
          <w:lang w:val="it-IT"/>
        </w:rPr>
        <w:t>MUNICIPIUL TIMIŞOARA</w:t>
      </w:r>
    </w:p>
    <w:p w:rsidR="002F703E" w:rsidRPr="006A42C3" w:rsidRDefault="002F703E" w:rsidP="00F94198">
      <w:pPr>
        <w:jc w:val="both"/>
        <w:rPr>
          <w:b/>
          <w:sz w:val="24"/>
          <w:szCs w:val="24"/>
          <w:lang w:val="it-IT"/>
        </w:rPr>
      </w:pPr>
      <w:r w:rsidRPr="006A42C3">
        <w:rPr>
          <w:b/>
          <w:sz w:val="24"/>
          <w:szCs w:val="24"/>
          <w:lang w:val="it-IT"/>
        </w:rPr>
        <w:t xml:space="preserve">SERVICIUL  </w:t>
      </w:r>
      <w:r w:rsidRPr="006A42C3">
        <w:rPr>
          <w:b/>
          <w:sz w:val="24"/>
          <w:szCs w:val="24"/>
        </w:rPr>
        <w:t>ŞC</w:t>
      </w:r>
      <w:r w:rsidRPr="006A42C3">
        <w:rPr>
          <w:b/>
          <w:sz w:val="24"/>
          <w:szCs w:val="24"/>
          <w:lang w:val="it-IT"/>
        </w:rPr>
        <w:t>OLI</w:t>
      </w:r>
      <w:r w:rsidR="00EA4F0B" w:rsidRPr="006A42C3">
        <w:rPr>
          <w:b/>
          <w:sz w:val="24"/>
          <w:szCs w:val="24"/>
          <w:lang w:val="it-IT"/>
        </w:rPr>
        <w:t xml:space="preserve">  </w:t>
      </w:r>
      <w:r w:rsidRPr="006A42C3">
        <w:rPr>
          <w:b/>
          <w:sz w:val="24"/>
          <w:szCs w:val="24"/>
          <w:lang w:val="it-IT"/>
        </w:rPr>
        <w:t xml:space="preserve">SPITALE                                                                                                                                                                        </w:t>
      </w:r>
    </w:p>
    <w:p w:rsidR="00B903B1" w:rsidRPr="00AF30FA" w:rsidRDefault="00B903B1" w:rsidP="00B903B1">
      <w:pPr>
        <w:rPr>
          <w:b/>
          <w:sz w:val="24"/>
          <w:szCs w:val="24"/>
        </w:rPr>
      </w:pPr>
      <w:r w:rsidRPr="00AF30FA">
        <w:rPr>
          <w:b/>
          <w:sz w:val="24"/>
          <w:szCs w:val="24"/>
        </w:rPr>
        <w:t>Nr.</w:t>
      </w:r>
      <w:r>
        <w:rPr>
          <w:b/>
          <w:sz w:val="24"/>
          <w:szCs w:val="24"/>
        </w:rPr>
        <w:t>SC2018-5684/12.03.2018</w:t>
      </w:r>
    </w:p>
    <w:p w:rsidR="00B054CD" w:rsidRPr="006A42C3" w:rsidRDefault="00B054CD" w:rsidP="00F94198">
      <w:pPr>
        <w:jc w:val="both"/>
        <w:rPr>
          <w:sz w:val="24"/>
          <w:szCs w:val="24"/>
        </w:rPr>
      </w:pPr>
    </w:p>
    <w:p w:rsidR="00DC3C9C" w:rsidRPr="006A42C3" w:rsidRDefault="00DC3C9C" w:rsidP="00DC3C9C">
      <w:pPr>
        <w:jc w:val="both"/>
        <w:rPr>
          <w:sz w:val="24"/>
          <w:szCs w:val="24"/>
        </w:rPr>
      </w:pPr>
    </w:p>
    <w:p w:rsidR="00DC3C9C" w:rsidRPr="006A42C3" w:rsidRDefault="00DC3C9C" w:rsidP="00DC3C9C">
      <w:pPr>
        <w:jc w:val="center"/>
        <w:rPr>
          <w:b/>
          <w:sz w:val="24"/>
          <w:szCs w:val="24"/>
        </w:rPr>
      </w:pPr>
      <w:r w:rsidRPr="006A42C3">
        <w:rPr>
          <w:b/>
          <w:sz w:val="24"/>
          <w:szCs w:val="24"/>
        </w:rPr>
        <w:t>RAPORT DE SPECIALITATE</w:t>
      </w:r>
    </w:p>
    <w:p w:rsidR="00DC3C9C" w:rsidRPr="006A42C3" w:rsidRDefault="00DC3C9C" w:rsidP="00DC3C9C">
      <w:pPr>
        <w:jc w:val="both"/>
        <w:rPr>
          <w:rFonts w:eastAsiaTheme="minorHAnsi"/>
          <w:b/>
          <w:bCs/>
          <w:color w:val="000000"/>
          <w:sz w:val="24"/>
          <w:szCs w:val="24"/>
        </w:rPr>
      </w:pPr>
      <w:r w:rsidRPr="006A42C3">
        <w:rPr>
          <w:b/>
          <w:bCs/>
          <w:color w:val="000000"/>
          <w:sz w:val="24"/>
          <w:szCs w:val="24"/>
        </w:rPr>
        <w:t>privind propunerea de schimbare a destinaţiei  spaţiului</w:t>
      </w:r>
      <w:r w:rsidRPr="006A42C3">
        <w:rPr>
          <w:b/>
          <w:sz w:val="24"/>
          <w:szCs w:val="24"/>
        </w:rPr>
        <w:t xml:space="preserve">  cu  suprafaţa de 930,65  mp, situat la  parterul  şi etajul I   al  Căminului</w:t>
      </w:r>
      <w:r w:rsidRPr="006A42C3">
        <w:rPr>
          <w:b/>
          <w:bCs/>
          <w:sz w:val="24"/>
          <w:szCs w:val="24"/>
        </w:rPr>
        <w:t xml:space="preserve">  nr. 2 aferent  Colegiului Tehnic „ Henri Coandă”,</w:t>
      </w:r>
      <w:r w:rsidRPr="006A42C3">
        <w:rPr>
          <w:b/>
          <w:sz w:val="24"/>
          <w:szCs w:val="24"/>
        </w:rPr>
        <w:t xml:space="preserve">  Timişoara, str. Brediceanu nr. 37</w:t>
      </w:r>
      <w:r w:rsidRPr="006A42C3">
        <w:rPr>
          <w:b/>
          <w:bCs/>
          <w:sz w:val="24"/>
          <w:szCs w:val="24"/>
        </w:rPr>
        <w:t>,</w:t>
      </w:r>
      <w:r w:rsidRPr="006A42C3">
        <w:rPr>
          <w:b/>
          <w:bCs/>
          <w:color w:val="000000"/>
          <w:sz w:val="24"/>
          <w:szCs w:val="24"/>
        </w:rPr>
        <w:t xml:space="preserve">  în vederea  </w:t>
      </w:r>
      <w:r w:rsidRPr="006A42C3">
        <w:rPr>
          <w:rFonts w:eastAsiaTheme="minorHAnsi"/>
          <w:b/>
          <w:bCs/>
          <w:color w:val="000000"/>
          <w:sz w:val="24"/>
          <w:szCs w:val="24"/>
        </w:rPr>
        <w:t>transmiter</w:t>
      </w:r>
      <w:r>
        <w:rPr>
          <w:rFonts w:eastAsiaTheme="minorHAnsi"/>
          <w:b/>
          <w:bCs/>
          <w:color w:val="000000"/>
          <w:sz w:val="24"/>
          <w:szCs w:val="24"/>
        </w:rPr>
        <w:t>i</w:t>
      </w:r>
      <w:r w:rsidRPr="006A42C3">
        <w:rPr>
          <w:rFonts w:eastAsiaTheme="minorHAnsi"/>
          <w:b/>
          <w:bCs/>
          <w:color w:val="000000"/>
          <w:sz w:val="24"/>
          <w:szCs w:val="24"/>
        </w:rPr>
        <w:t>i în administrarea</w:t>
      </w:r>
      <w:r w:rsidRPr="006A42C3">
        <w:rPr>
          <w:b/>
          <w:bCs/>
          <w:color w:val="000000"/>
          <w:sz w:val="24"/>
          <w:szCs w:val="24"/>
        </w:rPr>
        <w:t xml:space="preserve"> </w:t>
      </w:r>
      <w:r w:rsidRPr="006A42C3">
        <w:rPr>
          <w:rFonts w:eastAsiaTheme="minorHAnsi"/>
          <w:b/>
          <w:bCs/>
          <w:color w:val="000000"/>
          <w:sz w:val="24"/>
          <w:szCs w:val="24"/>
        </w:rPr>
        <w:t>Consiliului Judeţean Timiş</w:t>
      </w:r>
      <w:r w:rsidRPr="006A42C3">
        <w:rPr>
          <w:b/>
          <w:bCs/>
          <w:color w:val="000000"/>
          <w:sz w:val="24"/>
          <w:szCs w:val="24"/>
        </w:rPr>
        <w:t xml:space="preserve"> </w:t>
      </w:r>
      <w:r w:rsidRPr="006A42C3">
        <w:rPr>
          <w:rFonts w:eastAsiaTheme="minorHAnsi"/>
          <w:b/>
          <w:bCs/>
          <w:color w:val="000000"/>
          <w:sz w:val="24"/>
          <w:szCs w:val="24"/>
        </w:rPr>
        <w:t xml:space="preserve">  pentru desfăşurarea activităţii Centrului de Resurse şi Asistenţă Educaţională "Speranţa".</w:t>
      </w:r>
    </w:p>
    <w:p w:rsidR="00DC3C9C" w:rsidRPr="006A42C3" w:rsidRDefault="00DC3C9C" w:rsidP="00DC3C9C">
      <w:pPr>
        <w:jc w:val="both"/>
        <w:rPr>
          <w:sz w:val="24"/>
          <w:szCs w:val="24"/>
        </w:rPr>
      </w:pPr>
    </w:p>
    <w:p w:rsidR="00DC3C9C" w:rsidRPr="00DC3C9C" w:rsidRDefault="00DC3C9C" w:rsidP="00DC3C9C">
      <w:pPr>
        <w:rPr>
          <w:b/>
          <w:sz w:val="24"/>
          <w:szCs w:val="24"/>
        </w:rPr>
      </w:pPr>
      <w:r w:rsidRPr="006A42C3">
        <w:rPr>
          <w:sz w:val="24"/>
          <w:szCs w:val="24"/>
        </w:rPr>
        <w:t xml:space="preserve">       Având în vedere Expunerea de motive</w:t>
      </w:r>
      <w:r>
        <w:rPr>
          <w:sz w:val="24"/>
          <w:szCs w:val="24"/>
        </w:rPr>
        <w:t xml:space="preserve"> nr. </w:t>
      </w:r>
      <w:r w:rsidRPr="00DC3C9C">
        <w:rPr>
          <w:sz w:val="24"/>
          <w:szCs w:val="24"/>
        </w:rPr>
        <w:t>SC2018-5684/12.03.2018</w:t>
      </w:r>
      <w:r w:rsidRPr="006A42C3">
        <w:rPr>
          <w:sz w:val="24"/>
          <w:szCs w:val="24"/>
        </w:rPr>
        <w:t xml:space="preserve"> a Primarului Municipiului Timişoara şi Proiectul de </w:t>
      </w:r>
      <w:r w:rsidRPr="006A42C3">
        <w:rPr>
          <w:bCs/>
          <w:color w:val="000000"/>
          <w:sz w:val="24"/>
          <w:szCs w:val="24"/>
        </w:rPr>
        <w:t>privind propunerea de schimbare a destinaţiei  spaţiului</w:t>
      </w:r>
      <w:r w:rsidRPr="006A42C3">
        <w:rPr>
          <w:sz w:val="24"/>
          <w:szCs w:val="24"/>
        </w:rPr>
        <w:t xml:space="preserve">  cu  suprafaţa de 930,65  mp, situat la  parterul  şi etajul I   al  Căminului</w:t>
      </w:r>
      <w:r w:rsidRPr="006A42C3">
        <w:rPr>
          <w:bCs/>
          <w:sz w:val="24"/>
          <w:szCs w:val="24"/>
        </w:rPr>
        <w:t xml:space="preserve">  nr. 2 aferent  Colegiului Tehnic „ Henri Coandă”,</w:t>
      </w:r>
      <w:r w:rsidRPr="006A42C3">
        <w:rPr>
          <w:sz w:val="24"/>
          <w:szCs w:val="24"/>
        </w:rPr>
        <w:t xml:space="preserve">  Timişoara, str. Brediceanu nr. 37</w:t>
      </w:r>
      <w:r w:rsidRPr="006A42C3">
        <w:rPr>
          <w:bCs/>
          <w:sz w:val="24"/>
          <w:szCs w:val="24"/>
        </w:rPr>
        <w:t>,</w:t>
      </w:r>
      <w:r w:rsidRPr="006A42C3">
        <w:rPr>
          <w:bCs/>
          <w:color w:val="000000"/>
          <w:sz w:val="24"/>
          <w:szCs w:val="24"/>
        </w:rPr>
        <w:t xml:space="preserve">  în vederea  </w:t>
      </w:r>
      <w:r w:rsidRPr="006A42C3">
        <w:rPr>
          <w:rFonts w:eastAsiaTheme="minorHAnsi"/>
          <w:bCs/>
          <w:color w:val="000000"/>
          <w:sz w:val="24"/>
          <w:szCs w:val="24"/>
        </w:rPr>
        <w:t>transmiteri în administrarea</w:t>
      </w:r>
      <w:r w:rsidRPr="006A42C3">
        <w:rPr>
          <w:bCs/>
          <w:color w:val="000000"/>
          <w:sz w:val="24"/>
          <w:szCs w:val="24"/>
        </w:rPr>
        <w:t xml:space="preserve"> </w:t>
      </w:r>
      <w:r w:rsidRPr="006A42C3">
        <w:rPr>
          <w:rFonts w:eastAsiaTheme="minorHAnsi"/>
          <w:bCs/>
          <w:color w:val="000000"/>
          <w:sz w:val="24"/>
          <w:szCs w:val="24"/>
        </w:rPr>
        <w:t>Consiliului Judeţean Timiş pentru desfăşurarea activităţii Centrului de Resurse şi Asistenţă Educaţională "Speranţa".</w:t>
      </w:r>
    </w:p>
    <w:p w:rsidR="00DC3C9C" w:rsidRPr="006A42C3" w:rsidRDefault="00DC3C9C" w:rsidP="00DC3C9C">
      <w:pPr>
        <w:jc w:val="both"/>
        <w:rPr>
          <w:b/>
          <w:sz w:val="24"/>
          <w:szCs w:val="24"/>
        </w:rPr>
      </w:pPr>
      <w:r w:rsidRPr="006A42C3">
        <w:rPr>
          <w:b/>
          <w:sz w:val="24"/>
          <w:szCs w:val="24"/>
        </w:rPr>
        <w:t xml:space="preserve">       Facem următoarele precizări:</w:t>
      </w:r>
    </w:p>
    <w:p w:rsidR="00DC3C9C" w:rsidRPr="006A42C3" w:rsidRDefault="00DC3C9C" w:rsidP="00DC3C9C">
      <w:pPr>
        <w:jc w:val="both"/>
        <w:rPr>
          <w:sz w:val="24"/>
          <w:szCs w:val="24"/>
        </w:rPr>
      </w:pPr>
      <w:r w:rsidRPr="006A42C3">
        <w:rPr>
          <w:b/>
          <w:sz w:val="24"/>
          <w:szCs w:val="24"/>
        </w:rPr>
        <w:t xml:space="preserve">  </w:t>
      </w:r>
      <w:r w:rsidRPr="006A42C3">
        <w:rPr>
          <w:sz w:val="24"/>
          <w:szCs w:val="24"/>
        </w:rPr>
        <w:t>Clădirile şi terenul</w:t>
      </w:r>
      <w:r w:rsidRPr="006A42C3">
        <w:rPr>
          <w:b/>
          <w:sz w:val="24"/>
          <w:szCs w:val="24"/>
        </w:rPr>
        <w:t xml:space="preserve"> </w:t>
      </w:r>
      <w:r w:rsidRPr="006A42C3">
        <w:rPr>
          <w:bCs/>
          <w:sz w:val="24"/>
          <w:szCs w:val="24"/>
        </w:rPr>
        <w:t xml:space="preserve">aferente  Colegiului Tehnic „ Henri Coandă” situate în </w:t>
      </w:r>
      <w:r w:rsidRPr="006A42C3">
        <w:rPr>
          <w:sz w:val="24"/>
          <w:szCs w:val="24"/>
        </w:rPr>
        <w:t>str. Brediceanu nr. 37  fac parte  din domeniul public al Municipiului Timişoara .</w:t>
      </w:r>
    </w:p>
    <w:p w:rsidR="00DC3C9C" w:rsidRPr="006A42C3" w:rsidRDefault="00DC3C9C" w:rsidP="00DC3C9C">
      <w:pPr>
        <w:jc w:val="both"/>
        <w:rPr>
          <w:rFonts w:eastAsiaTheme="minorHAnsi"/>
          <w:color w:val="000000"/>
          <w:sz w:val="24"/>
          <w:szCs w:val="24"/>
        </w:rPr>
      </w:pPr>
      <w:r w:rsidRPr="006A42C3">
        <w:rPr>
          <w:bCs/>
          <w:color w:val="000000"/>
          <w:sz w:val="24"/>
          <w:szCs w:val="24"/>
        </w:rPr>
        <w:t xml:space="preserve">   Prin Hotărârea  Consiliului Local  nr. 215/23.04.2013, spaţiul </w:t>
      </w:r>
      <w:r w:rsidRPr="006A42C3">
        <w:rPr>
          <w:sz w:val="24"/>
          <w:szCs w:val="24"/>
        </w:rPr>
        <w:t xml:space="preserve"> cu  suprafaţa de 930,65  mp, situat la  parterul  şi etajul I   al  Căminului</w:t>
      </w:r>
      <w:r w:rsidRPr="006A42C3">
        <w:rPr>
          <w:bCs/>
          <w:sz w:val="24"/>
          <w:szCs w:val="24"/>
        </w:rPr>
        <w:t xml:space="preserve">  nr. 2 al  Colegiului Tehnic „ Henri Coandă”,</w:t>
      </w:r>
      <w:r w:rsidRPr="006A42C3">
        <w:rPr>
          <w:sz w:val="24"/>
          <w:szCs w:val="24"/>
        </w:rPr>
        <w:t xml:space="preserve"> a fost  transmis  în </w:t>
      </w:r>
      <w:r w:rsidRPr="006A42C3">
        <w:rPr>
          <w:rFonts w:eastAsiaTheme="minorHAnsi"/>
          <w:color w:val="000000"/>
          <w:sz w:val="24"/>
          <w:szCs w:val="24"/>
        </w:rPr>
        <w:t xml:space="preserve">administrarea Consiliului Judeţean Timiş,  pe o perioadă de 5 ani în vederea desfăşurării activităţii Centrului de Resurse şi Asistenţă Educaţională "Speranţa", a cărei finanţare se asigură din sumele defalcate din unele venituri ale bugetului de stat prin bugetul local al Consiliului Judeţean.   Contractul de  administrare încheiat între  Municipiul Timişoara  şi Consiliul Judeţean Timiş  expiră la data de 27.06.2018. </w:t>
      </w:r>
    </w:p>
    <w:p w:rsidR="00DC3C9C" w:rsidRPr="006A42C3" w:rsidRDefault="00DC3C9C" w:rsidP="00DC3C9C">
      <w:pPr>
        <w:autoSpaceDE w:val="0"/>
        <w:autoSpaceDN w:val="0"/>
        <w:adjustRightInd w:val="0"/>
        <w:jc w:val="both"/>
        <w:rPr>
          <w:sz w:val="24"/>
          <w:szCs w:val="24"/>
          <w:lang w:val="en-US"/>
        </w:rPr>
      </w:pPr>
      <w:r w:rsidRPr="006A42C3">
        <w:rPr>
          <w:bCs/>
          <w:sz w:val="24"/>
          <w:szCs w:val="24"/>
        </w:rPr>
        <w:t xml:space="preserve">     </w:t>
      </w:r>
      <w:r w:rsidRPr="006A42C3">
        <w:rPr>
          <w:sz w:val="24"/>
          <w:szCs w:val="24"/>
        </w:rPr>
        <w:t>Având în vedere prevederile art. 112, alin. 6 din Legea educaţiei naţionale nr.1/2011 şi  Ordinul nr. 5819/2016 al Ministerului Educaţiei Naţionale</w:t>
      </w:r>
      <w:r w:rsidRPr="006A42C3">
        <w:rPr>
          <w:sz w:val="24"/>
          <w:szCs w:val="24"/>
          <w:lang w:val="en-US"/>
        </w:rPr>
        <w:t xml:space="preserve"> privind aprobarea procedurii de elaborare a avizului conform pentru schimbarea destinaţiei bazei materiale a instituţiilor şi unităţilor de învăţământ preuniversitar de stat, precum şi condiţiile necesare acordării acestuia, </w:t>
      </w:r>
      <w:r w:rsidRPr="006A42C3">
        <w:rPr>
          <w:sz w:val="24"/>
          <w:szCs w:val="24"/>
        </w:rPr>
        <w:t xml:space="preserve">închirierea, darea în administrare sau folosinţă gratuită a unui spaţiu se poate face după  obţinerea  avizului  conform </w:t>
      </w:r>
      <w:r w:rsidRPr="006A42C3">
        <w:rPr>
          <w:sz w:val="24"/>
          <w:szCs w:val="24"/>
          <w:lang w:val="it-IT"/>
        </w:rPr>
        <w:t>al Ministrului Educaţiei Naţionale  de schimbare a  destinaţiei spaţiului respectiv.</w:t>
      </w:r>
    </w:p>
    <w:p w:rsidR="00DC3C9C" w:rsidRPr="006A42C3" w:rsidRDefault="00DC3C9C" w:rsidP="00DC3C9C">
      <w:pPr>
        <w:autoSpaceDE w:val="0"/>
        <w:autoSpaceDN w:val="0"/>
        <w:adjustRightInd w:val="0"/>
        <w:jc w:val="both"/>
        <w:rPr>
          <w:sz w:val="24"/>
          <w:szCs w:val="24"/>
          <w:lang w:val="en-US"/>
        </w:rPr>
      </w:pPr>
      <w:r w:rsidRPr="006A42C3">
        <w:rPr>
          <w:sz w:val="24"/>
          <w:szCs w:val="24"/>
          <w:lang w:val="en-US"/>
        </w:rPr>
        <w:t xml:space="preserve">      </w:t>
      </w:r>
      <w:r w:rsidRPr="006A42C3">
        <w:rPr>
          <w:sz w:val="24"/>
          <w:szCs w:val="24"/>
          <w:lang w:bidi="en-US"/>
        </w:rPr>
        <w:t xml:space="preserve">Conform procesului verbal  </w:t>
      </w:r>
      <w:r w:rsidRPr="006A42C3">
        <w:rPr>
          <w:bCs/>
          <w:sz w:val="24"/>
          <w:szCs w:val="24"/>
        </w:rPr>
        <w:t xml:space="preserve">din data de 01.11.2017, </w:t>
      </w:r>
      <w:r w:rsidRPr="006A42C3">
        <w:rPr>
          <w:sz w:val="24"/>
          <w:szCs w:val="24"/>
          <w:lang w:val="it-IT"/>
        </w:rPr>
        <w:t>Comisia  de analiză a spaţiilor temporar disponibile, situate în imobilele instituţiilor şcolare şi medicale aflate în proprietatea municipiului Timişoara</w:t>
      </w:r>
      <w:r w:rsidRPr="006A42C3">
        <w:rPr>
          <w:bCs/>
          <w:sz w:val="24"/>
          <w:szCs w:val="24"/>
        </w:rPr>
        <w:t xml:space="preserve"> a hotărât ca Serviciul Şcoli-Spitale </w:t>
      </w:r>
      <w:r w:rsidRPr="006A42C3">
        <w:rPr>
          <w:sz w:val="24"/>
          <w:szCs w:val="24"/>
        </w:rPr>
        <w:t xml:space="preserve"> să promoveze   un proiect de hotărâre cu propunerea de schimbare a destinaţiei spaţiului dupa obţinerea acordului  Inspectoratului Şcolar Judeţean Timiş pentru schimbare destinaţie şi să  facă  demersurile pentru obţinerea avizului conform al Ministrului Educaţiei Naţionale pentru schimbarea destinaţiei. După obţinerea  avizului conform al Minist</w:t>
      </w:r>
      <w:r>
        <w:rPr>
          <w:sz w:val="24"/>
          <w:szCs w:val="24"/>
        </w:rPr>
        <w:t>rului Educaţiei Naţionale va  p</w:t>
      </w:r>
      <w:r w:rsidRPr="006A42C3">
        <w:rPr>
          <w:sz w:val="24"/>
          <w:szCs w:val="24"/>
        </w:rPr>
        <w:t>romova proiectul de hotărâ</w:t>
      </w:r>
      <w:r>
        <w:rPr>
          <w:sz w:val="24"/>
          <w:szCs w:val="24"/>
        </w:rPr>
        <w:t>re pentru  prelungirea contract</w:t>
      </w:r>
      <w:r w:rsidRPr="006A42C3">
        <w:rPr>
          <w:sz w:val="24"/>
          <w:szCs w:val="24"/>
        </w:rPr>
        <w:t>ului de administrare.</w:t>
      </w:r>
    </w:p>
    <w:p w:rsidR="00DC3C9C" w:rsidRPr="006A42C3" w:rsidRDefault="00DC3C9C" w:rsidP="00DC3C9C">
      <w:pPr>
        <w:jc w:val="both"/>
        <w:rPr>
          <w:sz w:val="24"/>
          <w:szCs w:val="24"/>
        </w:rPr>
      </w:pPr>
      <w:r w:rsidRPr="006A42C3">
        <w:rPr>
          <w:sz w:val="24"/>
          <w:szCs w:val="24"/>
          <w:lang w:bidi="en-US"/>
        </w:rPr>
        <w:t xml:space="preserve">     Consiliul de  Administraţie al </w:t>
      </w:r>
      <w:r w:rsidRPr="006A42C3">
        <w:rPr>
          <w:sz w:val="24"/>
          <w:szCs w:val="24"/>
          <w:lang w:val="it-IT" w:bidi="en-US"/>
        </w:rPr>
        <w:t xml:space="preserve">Inspectoratului Şcolar Judeţean Timiş   prin Hotărârea nr. 301 din 09.10.2017 a  aprobat </w:t>
      </w:r>
      <w:r w:rsidRPr="006A42C3">
        <w:rPr>
          <w:bCs/>
          <w:color w:val="000000"/>
          <w:sz w:val="24"/>
          <w:szCs w:val="24"/>
        </w:rPr>
        <w:t>schimbare a destinaţiei  spaţiului</w:t>
      </w:r>
      <w:r>
        <w:rPr>
          <w:sz w:val="24"/>
          <w:szCs w:val="24"/>
        </w:rPr>
        <w:t xml:space="preserve"> </w:t>
      </w:r>
      <w:r w:rsidRPr="006A42C3">
        <w:rPr>
          <w:sz w:val="24"/>
          <w:szCs w:val="24"/>
        </w:rPr>
        <w:t xml:space="preserve"> în care a funcţionat  Căminului</w:t>
      </w:r>
      <w:r w:rsidRPr="006A42C3">
        <w:rPr>
          <w:bCs/>
          <w:sz w:val="24"/>
          <w:szCs w:val="24"/>
        </w:rPr>
        <w:t xml:space="preserve">  nr. 2</w:t>
      </w:r>
      <w:r>
        <w:rPr>
          <w:bCs/>
          <w:sz w:val="24"/>
          <w:szCs w:val="24"/>
        </w:rPr>
        <w:t>,</w:t>
      </w:r>
      <w:r w:rsidRPr="006A42C3">
        <w:rPr>
          <w:bCs/>
          <w:sz w:val="24"/>
          <w:szCs w:val="24"/>
        </w:rPr>
        <w:t xml:space="preserve"> al   Colegiului Tehnic „ Henri Coandă”,</w:t>
      </w:r>
      <w:r w:rsidRPr="006A42C3">
        <w:rPr>
          <w:sz w:val="24"/>
          <w:szCs w:val="24"/>
        </w:rPr>
        <w:t xml:space="preserve">  Timişoara, str. Brediceanu nr. 37</w:t>
      </w:r>
      <w:r w:rsidRPr="006A42C3">
        <w:rPr>
          <w:bCs/>
          <w:sz w:val="24"/>
          <w:szCs w:val="24"/>
        </w:rPr>
        <w:t>,</w:t>
      </w:r>
      <w:r w:rsidRPr="006A42C3">
        <w:rPr>
          <w:bCs/>
          <w:color w:val="000000"/>
          <w:sz w:val="24"/>
          <w:szCs w:val="24"/>
        </w:rPr>
        <w:t xml:space="preserve"> pentru  </w:t>
      </w:r>
      <w:r w:rsidRPr="006A42C3">
        <w:rPr>
          <w:rFonts w:eastAsiaTheme="minorHAnsi"/>
          <w:bCs/>
          <w:color w:val="000000"/>
          <w:sz w:val="24"/>
          <w:szCs w:val="24"/>
        </w:rPr>
        <w:t>desfăşurarea activităţii Centrului de Resurse şi Asistenţă Educaţională "Speranţa".</w:t>
      </w:r>
    </w:p>
    <w:p w:rsidR="00DC3C9C" w:rsidRPr="006A42C3" w:rsidRDefault="00DC3C9C" w:rsidP="00DC3C9C">
      <w:pPr>
        <w:jc w:val="both"/>
        <w:rPr>
          <w:sz w:val="24"/>
          <w:szCs w:val="24"/>
        </w:rPr>
      </w:pPr>
      <w:r w:rsidRPr="006A42C3">
        <w:rPr>
          <w:sz w:val="24"/>
          <w:szCs w:val="24"/>
          <w:lang w:bidi="en-US"/>
        </w:rPr>
        <w:t xml:space="preserve">    </w:t>
      </w:r>
      <w:r w:rsidRPr="006A42C3">
        <w:rPr>
          <w:sz w:val="24"/>
          <w:szCs w:val="24"/>
        </w:rPr>
        <w:t xml:space="preserve">Colegiul Tehnic Henri Coandă  </w:t>
      </w:r>
      <w:r w:rsidRPr="006A42C3">
        <w:rPr>
          <w:sz w:val="24"/>
          <w:szCs w:val="24"/>
          <w:lang w:bidi="en-US"/>
        </w:rPr>
        <w:t>prin adresa cu nr.2824/20.12..2017</w:t>
      </w:r>
      <w:r>
        <w:rPr>
          <w:sz w:val="24"/>
          <w:szCs w:val="24"/>
          <w:lang w:bidi="en-US"/>
        </w:rPr>
        <w:t>,</w:t>
      </w:r>
      <w:r w:rsidRPr="006A42C3">
        <w:rPr>
          <w:sz w:val="24"/>
          <w:szCs w:val="24"/>
          <w:lang w:bidi="en-US"/>
        </w:rPr>
        <w:t xml:space="preserve"> înregistrată la Municipiul Timişoara sub nr. SC2017-32208/21.12.2017 a transmis </w:t>
      </w:r>
      <w:r>
        <w:rPr>
          <w:sz w:val="24"/>
          <w:szCs w:val="24"/>
          <w:lang w:bidi="en-US"/>
        </w:rPr>
        <w:t xml:space="preserve">decizia </w:t>
      </w:r>
      <w:r w:rsidRPr="006A42C3">
        <w:rPr>
          <w:sz w:val="24"/>
          <w:szCs w:val="24"/>
          <w:lang w:bidi="en-US"/>
        </w:rPr>
        <w:t xml:space="preserve">Consiliul de administraţie </w:t>
      </w:r>
      <w:r>
        <w:rPr>
          <w:sz w:val="24"/>
          <w:szCs w:val="24"/>
          <w:lang w:bidi="en-US"/>
        </w:rPr>
        <w:t>în vederea emiterii</w:t>
      </w:r>
      <w:r w:rsidRPr="006A42C3">
        <w:rPr>
          <w:sz w:val="24"/>
          <w:szCs w:val="24"/>
          <w:lang w:bidi="en-US"/>
        </w:rPr>
        <w:t xml:space="preserve"> acordului de </w:t>
      </w:r>
      <w:r w:rsidRPr="006A42C3">
        <w:rPr>
          <w:bCs/>
          <w:color w:val="000000"/>
          <w:sz w:val="24"/>
          <w:szCs w:val="24"/>
        </w:rPr>
        <w:t>schimbare a destinaţiei  spaţiului</w:t>
      </w:r>
      <w:r w:rsidRPr="006A42C3">
        <w:rPr>
          <w:sz w:val="24"/>
          <w:szCs w:val="24"/>
        </w:rPr>
        <w:t xml:space="preserve">  cu  suprafaţa de 930,65  mp, situat situ</w:t>
      </w:r>
      <w:r>
        <w:rPr>
          <w:sz w:val="24"/>
          <w:szCs w:val="24"/>
        </w:rPr>
        <w:t>at la  parterul  şi etajul I al</w:t>
      </w:r>
      <w:r w:rsidRPr="006A42C3">
        <w:rPr>
          <w:sz w:val="24"/>
          <w:szCs w:val="24"/>
        </w:rPr>
        <w:t xml:space="preserve"> Căminului</w:t>
      </w:r>
      <w:r w:rsidRPr="006A42C3">
        <w:rPr>
          <w:bCs/>
          <w:sz w:val="24"/>
          <w:szCs w:val="24"/>
        </w:rPr>
        <w:t xml:space="preserve">  nr. 2 al  Colegiului Tehnic „ Henri Coandă”,</w:t>
      </w:r>
      <w:r w:rsidRPr="006A42C3">
        <w:rPr>
          <w:bCs/>
          <w:color w:val="000000"/>
          <w:sz w:val="24"/>
          <w:szCs w:val="24"/>
        </w:rPr>
        <w:t xml:space="preserve"> pentru  </w:t>
      </w:r>
      <w:r w:rsidRPr="006A42C3">
        <w:rPr>
          <w:rFonts w:eastAsiaTheme="minorHAnsi"/>
          <w:bCs/>
          <w:color w:val="000000"/>
          <w:sz w:val="24"/>
          <w:szCs w:val="24"/>
        </w:rPr>
        <w:t>desfăşurarea activităţii Centrului de Resurse şi Asistenţă Educaţională "Speranţa".</w:t>
      </w:r>
    </w:p>
    <w:p w:rsidR="00DC3C9C" w:rsidRPr="006A42C3" w:rsidRDefault="00DC3C9C" w:rsidP="00DC3C9C">
      <w:pPr>
        <w:jc w:val="both"/>
        <w:rPr>
          <w:sz w:val="24"/>
          <w:szCs w:val="24"/>
        </w:rPr>
      </w:pPr>
      <w:r w:rsidRPr="006A42C3">
        <w:rPr>
          <w:sz w:val="24"/>
          <w:szCs w:val="24"/>
          <w:lang w:bidi="en-US"/>
        </w:rPr>
        <w:lastRenderedPageBreak/>
        <w:t xml:space="preserve">    Conform art 112</w:t>
      </w:r>
      <w:r>
        <w:rPr>
          <w:sz w:val="24"/>
          <w:szCs w:val="24"/>
          <w:lang w:bidi="en-US"/>
        </w:rPr>
        <w:t>,</w:t>
      </w:r>
      <w:r w:rsidRPr="006A42C3">
        <w:rPr>
          <w:sz w:val="24"/>
          <w:szCs w:val="24"/>
          <w:lang w:bidi="en-US"/>
        </w:rPr>
        <w:t xml:space="preserve"> alin 3 din Legea  nr. 1/2011 a educaţiei naţionale    </w:t>
      </w:r>
      <w:r w:rsidRPr="006A42C3">
        <w:rPr>
          <w:sz w:val="24"/>
          <w:szCs w:val="24"/>
        </w:rPr>
        <w:t xml:space="preserve">terenurile şi cladirile în care îşi desfaşoară  activitatea unităţile de învaţămant special de stat şi centrele judeţene de resurse şi asistenţă educaţională fac parte din domeniul public judetean, respectiv al municipiului Bucuresti, şi sunt în administrarea consiliului judetean, respectiv a consiliilor locale ale sectoarelor municipiului Bucuresti, în a caror raza teritoriala işi desfaşoară activitatea, prin consiliile de administraţie ale unităţilor de învăţământ respective. </w:t>
      </w:r>
    </w:p>
    <w:p w:rsidR="00DC3C9C" w:rsidRPr="006A42C3" w:rsidRDefault="00DC3C9C" w:rsidP="00DC3C9C">
      <w:pPr>
        <w:jc w:val="both"/>
        <w:rPr>
          <w:rFonts w:eastAsiaTheme="minorHAnsi"/>
          <w:bCs/>
          <w:color w:val="000000"/>
          <w:sz w:val="24"/>
          <w:szCs w:val="24"/>
        </w:rPr>
      </w:pPr>
      <w:r w:rsidRPr="006A42C3">
        <w:rPr>
          <w:sz w:val="24"/>
          <w:szCs w:val="24"/>
        </w:rPr>
        <w:t xml:space="preserve">     Consiliul Judeţean  Timiş  nu dispune de imobile pentru desfăşurarea activităţilor unităţilor de învaţămant special de stat şi centrele judeţene de resurse şi asistenţă educaţională, fapt pentru care prin adresa cu nr. 22996/24.11.2017</w:t>
      </w:r>
      <w:r>
        <w:rPr>
          <w:sz w:val="24"/>
          <w:szCs w:val="24"/>
        </w:rPr>
        <w:t>,</w:t>
      </w:r>
      <w:r w:rsidRPr="006A42C3">
        <w:rPr>
          <w:sz w:val="24"/>
          <w:szCs w:val="24"/>
        </w:rPr>
        <w:t xml:space="preserve"> înregistrată la  Municipiul Timişoara sub nr.31209/12.12.2017, a solicitat  sprijinul  pentru identificarea  unui  spaţiul  adecvat  desfăşurării activităţii </w:t>
      </w:r>
      <w:r w:rsidRPr="006A42C3">
        <w:rPr>
          <w:rFonts w:eastAsiaTheme="minorHAnsi"/>
          <w:bCs/>
          <w:color w:val="000000"/>
          <w:sz w:val="24"/>
          <w:szCs w:val="24"/>
        </w:rPr>
        <w:t>Centrului de Resurse şi Asistenţă Educaţională "Speranţa".</w:t>
      </w:r>
    </w:p>
    <w:p w:rsidR="00DC3C9C" w:rsidRPr="006A42C3" w:rsidRDefault="00DC3C9C" w:rsidP="00DC3C9C">
      <w:pPr>
        <w:jc w:val="both"/>
        <w:rPr>
          <w:sz w:val="24"/>
          <w:szCs w:val="24"/>
          <w:lang w:bidi="en-US"/>
        </w:rPr>
      </w:pPr>
      <w:r w:rsidRPr="006A42C3">
        <w:rPr>
          <w:rFonts w:eastAsiaTheme="minorHAnsi"/>
          <w:bCs/>
          <w:color w:val="000000"/>
          <w:sz w:val="24"/>
          <w:szCs w:val="24"/>
        </w:rPr>
        <w:t xml:space="preserve">      Clădirile  Colegiului  </w:t>
      </w:r>
      <w:r w:rsidRPr="006A42C3">
        <w:rPr>
          <w:rFonts w:eastAsiaTheme="minorHAnsi"/>
          <w:color w:val="000000"/>
          <w:sz w:val="24"/>
          <w:szCs w:val="24"/>
        </w:rPr>
        <w:t xml:space="preserve">Tehnic „ Henri Coandă”, mai puţin Căminul nr. 2,  fac obiectul </w:t>
      </w:r>
      <w:r w:rsidRPr="006A42C3">
        <w:rPr>
          <w:rFonts w:eastAsiaTheme="minorHAnsi"/>
          <w:bCs/>
          <w:color w:val="000000"/>
          <w:sz w:val="24"/>
          <w:szCs w:val="24"/>
        </w:rPr>
        <w:t xml:space="preserve"> proiectului-</w:t>
      </w:r>
      <w:r w:rsidRPr="006A42C3">
        <w:rPr>
          <w:sz w:val="24"/>
          <w:szCs w:val="24"/>
        </w:rPr>
        <w:t xml:space="preserve"> „Creşterea eficienţei energetice prin reabilitare termică construcţii şi instalaţii la Colegiul Tehnic „Henri Coandă”</w:t>
      </w:r>
      <w:r w:rsidRPr="006A42C3">
        <w:rPr>
          <w:rFonts w:eastAsiaTheme="minorHAnsi"/>
          <w:bCs/>
          <w:color w:val="000000"/>
          <w:sz w:val="24"/>
          <w:szCs w:val="24"/>
        </w:rPr>
        <w:t xml:space="preserve">   cu finanţare  europeană </w:t>
      </w:r>
      <w:r w:rsidRPr="006A42C3">
        <w:rPr>
          <w:sz w:val="24"/>
          <w:szCs w:val="24"/>
        </w:rPr>
        <w:t>prin programul  operaţional Regional 2014-2020</w:t>
      </w:r>
      <w:r>
        <w:rPr>
          <w:sz w:val="24"/>
          <w:szCs w:val="24"/>
        </w:rPr>
        <w:t>.</w:t>
      </w:r>
      <w:r w:rsidRPr="006A42C3">
        <w:rPr>
          <w:sz w:val="24"/>
          <w:szCs w:val="24"/>
        </w:rPr>
        <w:t xml:space="preserve"> </w:t>
      </w:r>
    </w:p>
    <w:p w:rsidR="00DC3C9C" w:rsidRPr="006A42C3" w:rsidRDefault="00DC3C9C" w:rsidP="00DC3C9C">
      <w:pPr>
        <w:jc w:val="both"/>
        <w:rPr>
          <w:iCs/>
          <w:color w:val="000000"/>
          <w:sz w:val="24"/>
          <w:szCs w:val="24"/>
        </w:rPr>
      </w:pPr>
      <w:r w:rsidRPr="006A42C3">
        <w:rPr>
          <w:rFonts w:eastAsiaTheme="minorHAnsi"/>
          <w:bCs/>
          <w:color w:val="000000"/>
          <w:sz w:val="24"/>
          <w:szCs w:val="24"/>
        </w:rPr>
        <w:t xml:space="preserve">     Căminul nr. 2  </w:t>
      </w:r>
      <w:r w:rsidRPr="006A42C3">
        <w:rPr>
          <w:sz w:val="24"/>
          <w:szCs w:val="24"/>
        </w:rPr>
        <w:t xml:space="preserve">este cuprins  în  </w:t>
      </w:r>
      <w:r>
        <w:rPr>
          <w:rStyle w:val="SubtleEmphasis"/>
          <w:i w:val="0"/>
          <w:color w:val="000000"/>
          <w:sz w:val="24"/>
          <w:szCs w:val="24"/>
        </w:rPr>
        <w:t>p</w:t>
      </w:r>
      <w:r w:rsidRPr="006A42C3">
        <w:rPr>
          <w:rStyle w:val="SubtleEmphasis"/>
          <w:i w:val="0"/>
          <w:color w:val="000000"/>
          <w:sz w:val="24"/>
          <w:szCs w:val="24"/>
        </w:rPr>
        <w:t>rogramul de investiţii</w:t>
      </w:r>
      <w:r>
        <w:rPr>
          <w:rStyle w:val="SubtleEmphasis"/>
          <w:i w:val="0"/>
          <w:color w:val="000000"/>
          <w:sz w:val="24"/>
          <w:szCs w:val="24"/>
        </w:rPr>
        <w:t xml:space="preserve"> - </w:t>
      </w:r>
      <w:r w:rsidRPr="006A42C3">
        <w:rPr>
          <w:rStyle w:val="SubtleEmphasis"/>
          <w:i w:val="0"/>
          <w:color w:val="000000"/>
          <w:sz w:val="24"/>
          <w:szCs w:val="24"/>
        </w:rPr>
        <w:t xml:space="preserve">Expertizare+AE + DALI+PT reabilitare corp cladire internat apartinand Liceului  Henri Coanda”, din Timisoara, str. Brediceanu nr. 35-39 ,din bugetul  local, lucrări   care nu sunt afectate de schimbarea destinaţiei  pentru </w:t>
      </w:r>
      <w:r w:rsidRPr="006A42C3">
        <w:rPr>
          <w:rFonts w:eastAsiaTheme="minorHAnsi"/>
          <w:bCs/>
          <w:color w:val="000000"/>
          <w:sz w:val="24"/>
          <w:szCs w:val="24"/>
        </w:rPr>
        <w:t>Centrul de Resurse şi Asistenţă Educaţională "Speranţa".</w:t>
      </w:r>
    </w:p>
    <w:p w:rsidR="00DC3C9C" w:rsidRPr="006A42C3" w:rsidRDefault="00DC3C9C" w:rsidP="00DC3C9C">
      <w:pPr>
        <w:jc w:val="both"/>
        <w:rPr>
          <w:sz w:val="24"/>
          <w:szCs w:val="24"/>
        </w:rPr>
      </w:pPr>
      <w:r w:rsidRPr="006A42C3">
        <w:rPr>
          <w:rFonts w:eastAsiaTheme="minorHAnsi"/>
          <w:sz w:val="24"/>
          <w:szCs w:val="24"/>
        </w:rPr>
        <w:t xml:space="preserve">      Faţă de cele prezentate, apreciem că proiectul de</w:t>
      </w:r>
      <w:r w:rsidRPr="006A42C3">
        <w:rPr>
          <w:bCs/>
          <w:color w:val="000000"/>
          <w:sz w:val="24"/>
          <w:szCs w:val="24"/>
        </w:rPr>
        <w:t xml:space="preserve">  hotărâre privind propunerea de schimbare a destinaţiei  spaţiului</w:t>
      </w:r>
      <w:r w:rsidRPr="006A42C3">
        <w:rPr>
          <w:sz w:val="24"/>
          <w:szCs w:val="24"/>
        </w:rPr>
        <w:t xml:space="preserve">  cu  suprafaţa de 930,65  mp, situat la  parterul  şi etajul I   al  Căminului</w:t>
      </w:r>
      <w:r w:rsidRPr="006A42C3">
        <w:rPr>
          <w:bCs/>
          <w:sz w:val="24"/>
          <w:szCs w:val="24"/>
        </w:rPr>
        <w:t xml:space="preserve">  nr. 2 aferent  Colegiului Tehnic „ Henri Coandă”,</w:t>
      </w:r>
      <w:r w:rsidRPr="006A42C3">
        <w:rPr>
          <w:sz w:val="24"/>
          <w:szCs w:val="24"/>
        </w:rPr>
        <w:t xml:space="preserve">  Timişoara, str. Brediceanu nr. 37</w:t>
      </w:r>
      <w:r w:rsidRPr="006A42C3">
        <w:rPr>
          <w:bCs/>
          <w:sz w:val="24"/>
          <w:szCs w:val="24"/>
        </w:rPr>
        <w:t>,</w:t>
      </w:r>
      <w:r w:rsidRPr="006A42C3">
        <w:rPr>
          <w:bCs/>
          <w:color w:val="000000"/>
          <w:sz w:val="24"/>
          <w:szCs w:val="24"/>
        </w:rPr>
        <w:t xml:space="preserve">  în vederea  </w:t>
      </w:r>
      <w:r w:rsidRPr="006A42C3">
        <w:rPr>
          <w:rFonts w:eastAsiaTheme="minorHAnsi"/>
          <w:bCs/>
          <w:color w:val="000000"/>
          <w:sz w:val="24"/>
          <w:szCs w:val="24"/>
        </w:rPr>
        <w:t>transmiter</w:t>
      </w:r>
      <w:r>
        <w:rPr>
          <w:rFonts w:eastAsiaTheme="minorHAnsi"/>
          <w:bCs/>
          <w:color w:val="000000"/>
          <w:sz w:val="24"/>
          <w:szCs w:val="24"/>
        </w:rPr>
        <w:t>i</w:t>
      </w:r>
      <w:r w:rsidRPr="006A42C3">
        <w:rPr>
          <w:rFonts w:eastAsiaTheme="minorHAnsi"/>
          <w:bCs/>
          <w:color w:val="000000"/>
          <w:sz w:val="24"/>
          <w:szCs w:val="24"/>
        </w:rPr>
        <w:t>i în administrarea</w:t>
      </w:r>
      <w:r w:rsidRPr="006A42C3">
        <w:rPr>
          <w:bCs/>
          <w:color w:val="000000"/>
          <w:sz w:val="24"/>
          <w:szCs w:val="24"/>
        </w:rPr>
        <w:t xml:space="preserve"> </w:t>
      </w:r>
      <w:r w:rsidRPr="006A42C3">
        <w:rPr>
          <w:rFonts w:eastAsiaTheme="minorHAnsi"/>
          <w:bCs/>
          <w:color w:val="000000"/>
          <w:sz w:val="24"/>
          <w:szCs w:val="24"/>
        </w:rPr>
        <w:t>Consiliului Judeţean Timiş</w:t>
      </w:r>
      <w:r w:rsidRPr="006A42C3">
        <w:rPr>
          <w:bCs/>
          <w:color w:val="000000"/>
          <w:sz w:val="24"/>
          <w:szCs w:val="24"/>
        </w:rPr>
        <w:t xml:space="preserve"> </w:t>
      </w:r>
      <w:r w:rsidRPr="006A42C3">
        <w:rPr>
          <w:rFonts w:eastAsiaTheme="minorHAnsi"/>
          <w:bCs/>
          <w:color w:val="000000"/>
          <w:sz w:val="24"/>
          <w:szCs w:val="24"/>
        </w:rPr>
        <w:t xml:space="preserve">  pentru desfăşurarea activităţii Centrului de Resurse şi Asistenţă Educaţională "Speranţa"</w:t>
      </w:r>
      <w:r w:rsidRPr="006A42C3">
        <w:rPr>
          <w:bCs/>
          <w:sz w:val="24"/>
          <w:szCs w:val="24"/>
        </w:rPr>
        <w:t>,</w:t>
      </w:r>
      <w:r w:rsidRPr="006A42C3">
        <w:rPr>
          <w:sz w:val="24"/>
          <w:szCs w:val="24"/>
        </w:rPr>
        <w:t xml:space="preserve"> îndeplineşte condiţiile pentru a fi supus dezbaterii şi aprobării plenului Consiliului Local.</w:t>
      </w:r>
    </w:p>
    <w:p w:rsidR="00DC3C9C" w:rsidRPr="006A42C3" w:rsidRDefault="00DC3C9C" w:rsidP="00DC3C9C">
      <w:pPr>
        <w:jc w:val="both"/>
        <w:rPr>
          <w:sz w:val="24"/>
          <w:szCs w:val="24"/>
        </w:rPr>
      </w:pPr>
    </w:p>
    <w:p w:rsidR="00DC3C9C" w:rsidRPr="006A42C3" w:rsidRDefault="00DC3C9C" w:rsidP="00DC3C9C">
      <w:pPr>
        <w:jc w:val="both"/>
        <w:rPr>
          <w:sz w:val="24"/>
          <w:szCs w:val="24"/>
        </w:rPr>
      </w:pPr>
    </w:p>
    <w:p w:rsidR="00DC3C9C" w:rsidRPr="006A42C3" w:rsidRDefault="00DC3C9C" w:rsidP="00DC3C9C">
      <w:pPr>
        <w:jc w:val="both"/>
        <w:rPr>
          <w:sz w:val="24"/>
          <w:szCs w:val="24"/>
        </w:rPr>
      </w:pPr>
    </w:p>
    <w:p w:rsidR="00DC3C9C" w:rsidRPr="006A42C3" w:rsidRDefault="00DC3C9C" w:rsidP="00DC3C9C">
      <w:pPr>
        <w:jc w:val="both"/>
        <w:rPr>
          <w:sz w:val="24"/>
          <w:szCs w:val="24"/>
        </w:rPr>
      </w:pPr>
    </w:p>
    <w:p w:rsidR="00DC3C9C" w:rsidRPr="006A42C3" w:rsidRDefault="00DC3C9C" w:rsidP="00DC3C9C">
      <w:pPr>
        <w:jc w:val="both"/>
        <w:rPr>
          <w:sz w:val="24"/>
          <w:szCs w:val="24"/>
        </w:rPr>
      </w:pPr>
    </w:p>
    <w:p w:rsidR="00C67207" w:rsidRPr="006A42C3" w:rsidRDefault="00C67207" w:rsidP="009C4214">
      <w:pPr>
        <w:jc w:val="both"/>
        <w:rPr>
          <w:sz w:val="24"/>
          <w:szCs w:val="24"/>
        </w:rPr>
      </w:pPr>
    </w:p>
    <w:p w:rsidR="00C67207" w:rsidRPr="006A42C3" w:rsidRDefault="00C67207" w:rsidP="00C67207">
      <w:pPr>
        <w:spacing w:line="276" w:lineRule="auto"/>
        <w:jc w:val="both"/>
        <w:rPr>
          <w:sz w:val="24"/>
          <w:szCs w:val="24"/>
        </w:rPr>
      </w:pPr>
    </w:p>
    <w:p w:rsidR="00C813D0" w:rsidRPr="006A42C3" w:rsidRDefault="00725B14" w:rsidP="00F94198">
      <w:pPr>
        <w:jc w:val="both"/>
        <w:rPr>
          <w:b/>
          <w:sz w:val="24"/>
          <w:szCs w:val="24"/>
        </w:rPr>
      </w:pPr>
      <w:r w:rsidRPr="006A42C3">
        <w:rPr>
          <w:b/>
          <w:sz w:val="24"/>
          <w:szCs w:val="24"/>
        </w:rPr>
        <w:t xml:space="preserve">  </w:t>
      </w:r>
      <w:r w:rsidR="00D573B1">
        <w:rPr>
          <w:b/>
          <w:sz w:val="24"/>
          <w:szCs w:val="24"/>
        </w:rPr>
        <w:t xml:space="preserve">    </w:t>
      </w:r>
      <w:r w:rsidRPr="006A42C3">
        <w:rPr>
          <w:b/>
          <w:sz w:val="24"/>
          <w:szCs w:val="24"/>
        </w:rPr>
        <w:t xml:space="preserve"> </w:t>
      </w:r>
      <w:r w:rsidR="00C813D0" w:rsidRPr="006A42C3">
        <w:rPr>
          <w:b/>
          <w:sz w:val="24"/>
          <w:szCs w:val="24"/>
        </w:rPr>
        <w:t>ŞEF SERVICIU ŞCOLI-SPITALE</w:t>
      </w:r>
      <w:r w:rsidR="00C813D0" w:rsidRPr="006A42C3">
        <w:rPr>
          <w:b/>
          <w:sz w:val="24"/>
          <w:szCs w:val="24"/>
        </w:rPr>
        <w:tab/>
      </w:r>
      <w:r w:rsidR="00C813D0" w:rsidRPr="006A42C3">
        <w:rPr>
          <w:b/>
          <w:sz w:val="24"/>
          <w:szCs w:val="24"/>
        </w:rPr>
        <w:tab/>
      </w:r>
      <w:r w:rsidR="00C813D0" w:rsidRPr="006A42C3">
        <w:rPr>
          <w:b/>
          <w:sz w:val="24"/>
          <w:szCs w:val="24"/>
        </w:rPr>
        <w:tab/>
      </w:r>
      <w:r w:rsidR="00C813D0" w:rsidRPr="006A42C3">
        <w:rPr>
          <w:b/>
          <w:sz w:val="24"/>
          <w:szCs w:val="24"/>
        </w:rPr>
        <w:tab/>
      </w:r>
      <w:r w:rsidR="009C4214" w:rsidRPr="006A42C3">
        <w:rPr>
          <w:b/>
          <w:sz w:val="24"/>
          <w:szCs w:val="24"/>
        </w:rPr>
        <w:t xml:space="preserve">           </w:t>
      </w:r>
      <w:r w:rsidR="00C813D0" w:rsidRPr="006A42C3">
        <w:rPr>
          <w:b/>
          <w:sz w:val="24"/>
          <w:szCs w:val="24"/>
        </w:rPr>
        <w:t>CONSILIER</w:t>
      </w:r>
    </w:p>
    <w:p w:rsidR="006048D9" w:rsidRPr="006A42C3" w:rsidRDefault="00C813D0" w:rsidP="00F94198">
      <w:pPr>
        <w:jc w:val="both"/>
        <w:rPr>
          <w:sz w:val="24"/>
          <w:szCs w:val="24"/>
        </w:rPr>
      </w:pPr>
      <w:r w:rsidRPr="006A42C3">
        <w:rPr>
          <w:b/>
          <w:sz w:val="24"/>
          <w:szCs w:val="24"/>
        </w:rPr>
        <w:t xml:space="preserve">             </w:t>
      </w:r>
      <w:r w:rsidR="00D573B1">
        <w:rPr>
          <w:b/>
          <w:sz w:val="24"/>
          <w:szCs w:val="24"/>
        </w:rPr>
        <w:t xml:space="preserve">   </w:t>
      </w:r>
      <w:r w:rsidRPr="006A42C3">
        <w:rPr>
          <w:b/>
          <w:sz w:val="24"/>
          <w:szCs w:val="24"/>
        </w:rPr>
        <w:t xml:space="preserve">  Anca Lăudatu                                           </w:t>
      </w:r>
      <w:r w:rsidR="007E5C35" w:rsidRPr="006A42C3">
        <w:rPr>
          <w:b/>
          <w:sz w:val="24"/>
          <w:szCs w:val="24"/>
        </w:rPr>
        <w:t xml:space="preserve">                     Ciucur Ioana</w:t>
      </w:r>
      <w:r w:rsidR="007E5C35" w:rsidRPr="006A42C3">
        <w:rPr>
          <w:sz w:val="24"/>
          <w:szCs w:val="24"/>
        </w:rPr>
        <w:t xml:space="preserve">    </w:t>
      </w:r>
    </w:p>
    <w:p w:rsidR="00725B14" w:rsidRPr="006A42C3" w:rsidRDefault="007E5C35" w:rsidP="00F94198">
      <w:pPr>
        <w:jc w:val="both"/>
        <w:rPr>
          <w:sz w:val="24"/>
          <w:szCs w:val="24"/>
        </w:rPr>
      </w:pPr>
      <w:r w:rsidRPr="006A42C3">
        <w:rPr>
          <w:sz w:val="24"/>
          <w:szCs w:val="24"/>
        </w:rPr>
        <w:t xml:space="preserve">                                                             </w:t>
      </w:r>
      <w:r w:rsidR="006815B8" w:rsidRPr="006A42C3">
        <w:rPr>
          <w:sz w:val="24"/>
          <w:szCs w:val="24"/>
        </w:rPr>
        <w:t xml:space="preserve">                              </w:t>
      </w:r>
      <w:r w:rsidRPr="006A42C3">
        <w:rPr>
          <w:sz w:val="24"/>
          <w:szCs w:val="24"/>
        </w:rPr>
        <w:t xml:space="preserve">                     </w:t>
      </w:r>
      <w:r w:rsidR="00725B14" w:rsidRPr="006A42C3">
        <w:rPr>
          <w:sz w:val="24"/>
          <w:szCs w:val="24"/>
        </w:rPr>
        <w:t xml:space="preserve"> </w:t>
      </w:r>
    </w:p>
    <w:p w:rsidR="00C67207" w:rsidRPr="006A42C3" w:rsidRDefault="00C67207" w:rsidP="00F94198">
      <w:pPr>
        <w:jc w:val="both"/>
        <w:rPr>
          <w:sz w:val="24"/>
          <w:szCs w:val="24"/>
        </w:rPr>
      </w:pPr>
    </w:p>
    <w:p w:rsidR="00C67207" w:rsidRPr="006A42C3" w:rsidRDefault="00C67207" w:rsidP="00F94198">
      <w:pPr>
        <w:jc w:val="both"/>
        <w:rPr>
          <w:sz w:val="24"/>
          <w:szCs w:val="24"/>
        </w:rPr>
      </w:pPr>
    </w:p>
    <w:p w:rsidR="00C67207" w:rsidRPr="006A42C3" w:rsidRDefault="00C67207" w:rsidP="00F94198">
      <w:pPr>
        <w:jc w:val="both"/>
        <w:rPr>
          <w:sz w:val="24"/>
          <w:szCs w:val="24"/>
        </w:rPr>
      </w:pPr>
    </w:p>
    <w:p w:rsidR="00C67207" w:rsidRPr="006A42C3" w:rsidRDefault="00C67207" w:rsidP="00F94198">
      <w:pPr>
        <w:jc w:val="both"/>
        <w:rPr>
          <w:sz w:val="24"/>
          <w:szCs w:val="24"/>
        </w:rPr>
      </w:pPr>
    </w:p>
    <w:p w:rsidR="00C67207" w:rsidRPr="006A42C3" w:rsidRDefault="00C67207" w:rsidP="00F94198">
      <w:pPr>
        <w:jc w:val="both"/>
        <w:rPr>
          <w:sz w:val="24"/>
          <w:szCs w:val="24"/>
        </w:rPr>
      </w:pPr>
    </w:p>
    <w:p w:rsidR="00C67207" w:rsidRPr="006A42C3" w:rsidRDefault="00C67207" w:rsidP="00F94198">
      <w:pPr>
        <w:jc w:val="both"/>
        <w:rPr>
          <w:sz w:val="24"/>
          <w:szCs w:val="24"/>
        </w:rPr>
      </w:pPr>
    </w:p>
    <w:p w:rsidR="00C67207" w:rsidRPr="006A42C3" w:rsidRDefault="00C67207" w:rsidP="00F94198">
      <w:pPr>
        <w:jc w:val="both"/>
        <w:rPr>
          <w:sz w:val="24"/>
          <w:szCs w:val="24"/>
        </w:rPr>
      </w:pPr>
    </w:p>
    <w:p w:rsidR="00C67207" w:rsidRPr="006A42C3" w:rsidRDefault="00C67207" w:rsidP="00F94198">
      <w:pPr>
        <w:jc w:val="both"/>
        <w:rPr>
          <w:sz w:val="24"/>
          <w:szCs w:val="24"/>
        </w:rPr>
      </w:pPr>
    </w:p>
    <w:p w:rsidR="00C67207" w:rsidRPr="006A42C3" w:rsidRDefault="00C67207" w:rsidP="00F94198">
      <w:pPr>
        <w:jc w:val="both"/>
        <w:rPr>
          <w:sz w:val="24"/>
          <w:szCs w:val="24"/>
        </w:rPr>
      </w:pPr>
    </w:p>
    <w:p w:rsidR="00C67207" w:rsidRPr="006A42C3" w:rsidRDefault="00C67207" w:rsidP="00F94198">
      <w:pPr>
        <w:jc w:val="both"/>
        <w:rPr>
          <w:sz w:val="24"/>
          <w:szCs w:val="24"/>
        </w:rPr>
      </w:pPr>
    </w:p>
    <w:p w:rsidR="00C67207" w:rsidRPr="006A42C3" w:rsidRDefault="00C67207" w:rsidP="00F94198">
      <w:pPr>
        <w:jc w:val="both"/>
        <w:rPr>
          <w:sz w:val="24"/>
          <w:szCs w:val="24"/>
        </w:rPr>
      </w:pPr>
    </w:p>
    <w:p w:rsidR="00C67207" w:rsidRPr="006A42C3" w:rsidRDefault="00C67207" w:rsidP="00F94198">
      <w:pPr>
        <w:jc w:val="both"/>
        <w:rPr>
          <w:sz w:val="24"/>
          <w:szCs w:val="24"/>
        </w:rPr>
      </w:pPr>
    </w:p>
    <w:p w:rsidR="000F55CA" w:rsidRPr="00D573B1" w:rsidRDefault="00725B14" w:rsidP="00F94198">
      <w:pPr>
        <w:jc w:val="both"/>
        <w:rPr>
          <w:sz w:val="20"/>
          <w:szCs w:val="20"/>
        </w:rPr>
      </w:pPr>
      <w:r w:rsidRPr="00D573B1">
        <w:rPr>
          <w:sz w:val="20"/>
          <w:szCs w:val="20"/>
        </w:rPr>
        <w:t xml:space="preserve">                                                         </w:t>
      </w:r>
      <w:r w:rsidR="006A69BB" w:rsidRPr="00D573B1">
        <w:rPr>
          <w:sz w:val="20"/>
          <w:szCs w:val="20"/>
        </w:rPr>
        <w:t xml:space="preserve">                               </w:t>
      </w:r>
      <w:r w:rsidRPr="00D573B1">
        <w:rPr>
          <w:sz w:val="20"/>
          <w:szCs w:val="20"/>
        </w:rPr>
        <w:t xml:space="preserve">                                     </w:t>
      </w:r>
      <w:r w:rsidR="00D573B1" w:rsidRPr="00D573B1">
        <w:rPr>
          <w:sz w:val="20"/>
          <w:szCs w:val="20"/>
        </w:rPr>
        <w:t xml:space="preserve">     </w:t>
      </w:r>
      <w:r w:rsidR="00D573B1">
        <w:rPr>
          <w:sz w:val="20"/>
          <w:szCs w:val="20"/>
        </w:rPr>
        <w:t xml:space="preserve">                  </w:t>
      </w:r>
      <w:r w:rsidR="006A69BB" w:rsidRPr="00D573B1">
        <w:rPr>
          <w:sz w:val="20"/>
          <w:szCs w:val="20"/>
        </w:rPr>
        <w:t xml:space="preserve">  </w:t>
      </w:r>
      <w:r w:rsidR="00593925" w:rsidRPr="00D573B1">
        <w:rPr>
          <w:color w:val="000000"/>
          <w:sz w:val="20"/>
          <w:szCs w:val="20"/>
        </w:rPr>
        <w:t>Cod.FO 53-01,Ver.1</w:t>
      </w:r>
    </w:p>
    <w:sectPr w:rsidR="000F55CA" w:rsidRPr="00D573B1" w:rsidSect="00C67207">
      <w:pgSz w:w="12240" w:h="15840"/>
      <w:pgMar w:top="567" w:right="851" w:bottom="709"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413" w:rsidRDefault="00243413" w:rsidP="002F703E">
      <w:r>
        <w:separator/>
      </w:r>
    </w:p>
  </w:endnote>
  <w:endnote w:type="continuationSeparator" w:id="1">
    <w:p w:rsidR="00243413" w:rsidRDefault="00243413" w:rsidP="002F7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413" w:rsidRDefault="00243413" w:rsidP="002F703E">
      <w:r>
        <w:separator/>
      </w:r>
    </w:p>
  </w:footnote>
  <w:footnote w:type="continuationSeparator" w:id="1">
    <w:p w:rsidR="00243413" w:rsidRDefault="00243413" w:rsidP="002F7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006EB"/>
    <w:multiLevelType w:val="hybridMultilevel"/>
    <w:tmpl w:val="533EC798"/>
    <w:lvl w:ilvl="0" w:tplc="2F5C6238">
      <w:numFmt w:val="bullet"/>
      <w:lvlText w:val="-"/>
      <w:lvlJc w:val="left"/>
      <w:pPr>
        <w:ind w:left="1068" w:hanging="360"/>
      </w:pPr>
      <w:rPr>
        <w:rFonts w:ascii="Times New Roman" w:eastAsia="Times New Roman" w:hAnsi="Times New Roman" w:cs="Times New Roman" w:hint="default"/>
        <w:color w:val="00000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nsid w:val="13DC1903"/>
    <w:multiLevelType w:val="hybridMultilevel"/>
    <w:tmpl w:val="1CAE9894"/>
    <w:lvl w:ilvl="0" w:tplc="10061F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66DBA"/>
    <w:multiLevelType w:val="hybridMultilevel"/>
    <w:tmpl w:val="33885146"/>
    <w:lvl w:ilvl="0" w:tplc="84F29B00">
      <w:start w:val="1"/>
      <w:numFmt w:val="decimal"/>
      <w:lvlText w:val="%1."/>
      <w:lvlJc w:val="left"/>
      <w:pPr>
        <w:ind w:left="90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057B9"/>
    <w:multiLevelType w:val="hybridMultilevel"/>
    <w:tmpl w:val="6812E694"/>
    <w:lvl w:ilvl="0" w:tplc="B11ABD94">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24149E"/>
    <w:multiLevelType w:val="hybridMultilevel"/>
    <w:tmpl w:val="E5AA65A0"/>
    <w:lvl w:ilvl="0" w:tplc="E220981C">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3E8534F"/>
    <w:multiLevelType w:val="hybridMultilevel"/>
    <w:tmpl w:val="0622A68A"/>
    <w:lvl w:ilvl="0" w:tplc="9E7EE4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hyphenationZone w:val="425"/>
  <w:characterSpacingControl w:val="doNotCompress"/>
  <w:footnotePr>
    <w:footnote w:id="0"/>
    <w:footnote w:id="1"/>
  </w:footnotePr>
  <w:endnotePr>
    <w:endnote w:id="0"/>
    <w:endnote w:id="1"/>
  </w:endnotePr>
  <w:compat/>
  <w:rsids>
    <w:rsidRoot w:val="00E92B9A"/>
    <w:rsid w:val="00005122"/>
    <w:rsid w:val="0000784C"/>
    <w:rsid w:val="00022703"/>
    <w:rsid w:val="00034E80"/>
    <w:rsid w:val="00036B01"/>
    <w:rsid w:val="00043615"/>
    <w:rsid w:val="00070B36"/>
    <w:rsid w:val="000C0C57"/>
    <w:rsid w:val="000E378D"/>
    <w:rsid w:val="000F0BD0"/>
    <w:rsid w:val="000F55CA"/>
    <w:rsid w:val="00114CA0"/>
    <w:rsid w:val="001236FB"/>
    <w:rsid w:val="00134696"/>
    <w:rsid w:val="00151737"/>
    <w:rsid w:val="00152684"/>
    <w:rsid w:val="00153303"/>
    <w:rsid w:val="00165986"/>
    <w:rsid w:val="0017483F"/>
    <w:rsid w:val="00184DF9"/>
    <w:rsid w:val="001A7AF1"/>
    <w:rsid w:val="001A7C68"/>
    <w:rsid w:val="001B7077"/>
    <w:rsid w:val="001C09E5"/>
    <w:rsid w:val="001D574D"/>
    <w:rsid w:val="001E662D"/>
    <w:rsid w:val="00206073"/>
    <w:rsid w:val="00234171"/>
    <w:rsid w:val="00243413"/>
    <w:rsid w:val="00255D30"/>
    <w:rsid w:val="0028679D"/>
    <w:rsid w:val="00296F44"/>
    <w:rsid w:val="002A34CA"/>
    <w:rsid w:val="002A7689"/>
    <w:rsid w:val="002A7999"/>
    <w:rsid w:val="002C5402"/>
    <w:rsid w:val="002D3AB1"/>
    <w:rsid w:val="002E04CF"/>
    <w:rsid w:val="002E3FF6"/>
    <w:rsid w:val="002F3E2B"/>
    <w:rsid w:val="002F703E"/>
    <w:rsid w:val="00300383"/>
    <w:rsid w:val="003071E9"/>
    <w:rsid w:val="00313278"/>
    <w:rsid w:val="003160C0"/>
    <w:rsid w:val="00320F32"/>
    <w:rsid w:val="00321EBF"/>
    <w:rsid w:val="00346A5C"/>
    <w:rsid w:val="003527A6"/>
    <w:rsid w:val="00357703"/>
    <w:rsid w:val="00357D28"/>
    <w:rsid w:val="003A2D65"/>
    <w:rsid w:val="003B3496"/>
    <w:rsid w:val="003D1820"/>
    <w:rsid w:val="003D6FEC"/>
    <w:rsid w:val="003E770E"/>
    <w:rsid w:val="003F5270"/>
    <w:rsid w:val="003F591A"/>
    <w:rsid w:val="0041607C"/>
    <w:rsid w:val="00420F14"/>
    <w:rsid w:val="00432153"/>
    <w:rsid w:val="00465143"/>
    <w:rsid w:val="004824FA"/>
    <w:rsid w:val="0048303A"/>
    <w:rsid w:val="004935BD"/>
    <w:rsid w:val="004A4969"/>
    <w:rsid w:val="004B0161"/>
    <w:rsid w:val="004C2C15"/>
    <w:rsid w:val="004E2540"/>
    <w:rsid w:val="00517C6B"/>
    <w:rsid w:val="005239BA"/>
    <w:rsid w:val="00542007"/>
    <w:rsid w:val="00566445"/>
    <w:rsid w:val="0057555E"/>
    <w:rsid w:val="00577675"/>
    <w:rsid w:val="00591BBC"/>
    <w:rsid w:val="005925BB"/>
    <w:rsid w:val="00593925"/>
    <w:rsid w:val="00597F2A"/>
    <w:rsid w:val="005C5F82"/>
    <w:rsid w:val="005C7DA0"/>
    <w:rsid w:val="005D6B1D"/>
    <w:rsid w:val="005F59AD"/>
    <w:rsid w:val="006048D9"/>
    <w:rsid w:val="00606668"/>
    <w:rsid w:val="00642326"/>
    <w:rsid w:val="006524FD"/>
    <w:rsid w:val="00654498"/>
    <w:rsid w:val="006614F2"/>
    <w:rsid w:val="00672875"/>
    <w:rsid w:val="006815B8"/>
    <w:rsid w:val="00691A78"/>
    <w:rsid w:val="006A42C3"/>
    <w:rsid w:val="006A69BB"/>
    <w:rsid w:val="006C5D25"/>
    <w:rsid w:val="006D072D"/>
    <w:rsid w:val="006D681A"/>
    <w:rsid w:val="006E4D3A"/>
    <w:rsid w:val="006E54C1"/>
    <w:rsid w:val="006E72D8"/>
    <w:rsid w:val="006F410D"/>
    <w:rsid w:val="00723094"/>
    <w:rsid w:val="00725B14"/>
    <w:rsid w:val="0073500D"/>
    <w:rsid w:val="00741C92"/>
    <w:rsid w:val="0077105C"/>
    <w:rsid w:val="007B75A0"/>
    <w:rsid w:val="007B7A2B"/>
    <w:rsid w:val="007C191F"/>
    <w:rsid w:val="007D13BC"/>
    <w:rsid w:val="007E5C35"/>
    <w:rsid w:val="007F6329"/>
    <w:rsid w:val="00804DD1"/>
    <w:rsid w:val="00811C79"/>
    <w:rsid w:val="008153D7"/>
    <w:rsid w:val="00846A0F"/>
    <w:rsid w:val="0085328E"/>
    <w:rsid w:val="008A5CA0"/>
    <w:rsid w:val="008B1BA4"/>
    <w:rsid w:val="008E188C"/>
    <w:rsid w:val="008E2644"/>
    <w:rsid w:val="008F1D3F"/>
    <w:rsid w:val="00907D65"/>
    <w:rsid w:val="00921219"/>
    <w:rsid w:val="00931AAF"/>
    <w:rsid w:val="00932F97"/>
    <w:rsid w:val="00936633"/>
    <w:rsid w:val="0094734F"/>
    <w:rsid w:val="00950A3F"/>
    <w:rsid w:val="00953EAB"/>
    <w:rsid w:val="00984FAA"/>
    <w:rsid w:val="009A2E6A"/>
    <w:rsid w:val="009B0805"/>
    <w:rsid w:val="009B4127"/>
    <w:rsid w:val="009C4214"/>
    <w:rsid w:val="009D0E73"/>
    <w:rsid w:val="00A22280"/>
    <w:rsid w:val="00A33B2A"/>
    <w:rsid w:val="00A52101"/>
    <w:rsid w:val="00A75FD8"/>
    <w:rsid w:val="00A80B39"/>
    <w:rsid w:val="00A9451A"/>
    <w:rsid w:val="00A957CE"/>
    <w:rsid w:val="00AC1052"/>
    <w:rsid w:val="00AC39DB"/>
    <w:rsid w:val="00AD792B"/>
    <w:rsid w:val="00AE64A3"/>
    <w:rsid w:val="00B054CD"/>
    <w:rsid w:val="00B350D2"/>
    <w:rsid w:val="00B43724"/>
    <w:rsid w:val="00B708E2"/>
    <w:rsid w:val="00B903B1"/>
    <w:rsid w:val="00B91887"/>
    <w:rsid w:val="00B96FEB"/>
    <w:rsid w:val="00BC57D7"/>
    <w:rsid w:val="00BD233C"/>
    <w:rsid w:val="00BD3D05"/>
    <w:rsid w:val="00BD446E"/>
    <w:rsid w:val="00BD67EB"/>
    <w:rsid w:val="00BE1F21"/>
    <w:rsid w:val="00BE5286"/>
    <w:rsid w:val="00BF6157"/>
    <w:rsid w:val="00C0083A"/>
    <w:rsid w:val="00C06B27"/>
    <w:rsid w:val="00C06B37"/>
    <w:rsid w:val="00C2426C"/>
    <w:rsid w:val="00C247A7"/>
    <w:rsid w:val="00C33619"/>
    <w:rsid w:val="00C33E23"/>
    <w:rsid w:val="00C67207"/>
    <w:rsid w:val="00C76A44"/>
    <w:rsid w:val="00C76A81"/>
    <w:rsid w:val="00C76B00"/>
    <w:rsid w:val="00C813D0"/>
    <w:rsid w:val="00C82A11"/>
    <w:rsid w:val="00C83A58"/>
    <w:rsid w:val="00C947AC"/>
    <w:rsid w:val="00CB135E"/>
    <w:rsid w:val="00CE0281"/>
    <w:rsid w:val="00CE6D37"/>
    <w:rsid w:val="00D02416"/>
    <w:rsid w:val="00D41481"/>
    <w:rsid w:val="00D429B6"/>
    <w:rsid w:val="00D573B1"/>
    <w:rsid w:val="00D67412"/>
    <w:rsid w:val="00D77A8C"/>
    <w:rsid w:val="00D870E8"/>
    <w:rsid w:val="00D93095"/>
    <w:rsid w:val="00D93163"/>
    <w:rsid w:val="00DC3C9C"/>
    <w:rsid w:val="00DE625A"/>
    <w:rsid w:val="00DF0C56"/>
    <w:rsid w:val="00DF757D"/>
    <w:rsid w:val="00E11003"/>
    <w:rsid w:val="00E13515"/>
    <w:rsid w:val="00E146DC"/>
    <w:rsid w:val="00E302FB"/>
    <w:rsid w:val="00E44B39"/>
    <w:rsid w:val="00E44D3C"/>
    <w:rsid w:val="00E51813"/>
    <w:rsid w:val="00E62C74"/>
    <w:rsid w:val="00E67C17"/>
    <w:rsid w:val="00E72CEF"/>
    <w:rsid w:val="00E92B9A"/>
    <w:rsid w:val="00EA4F0B"/>
    <w:rsid w:val="00EC4A52"/>
    <w:rsid w:val="00ED1437"/>
    <w:rsid w:val="00EF0379"/>
    <w:rsid w:val="00EF1252"/>
    <w:rsid w:val="00F13B15"/>
    <w:rsid w:val="00F23E6E"/>
    <w:rsid w:val="00F47878"/>
    <w:rsid w:val="00F52D60"/>
    <w:rsid w:val="00F55784"/>
    <w:rsid w:val="00F60481"/>
    <w:rsid w:val="00F625A8"/>
    <w:rsid w:val="00F80791"/>
    <w:rsid w:val="00F87B27"/>
    <w:rsid w:val="00F911C7"/>
    <w:rsid w:val="00F94198"/>
    <w:rsid w:val="00FB5E69"/>
    <w:rsid w:val="00FE72EA"/>
    <w:rsid w:val="00FF5C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3E"/>
    <w:pPr>
      <w:spacing w:after="0" w:line="240" w:lineRule="auto"/>
    </w:pPr>
    <w:rPr>
      <w:rFonts w:ascii="Times New Roman" w:eastAsia="Times New Roman" w:hAnsi="Times New Roman" w:cs="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F703E"/>
    <w:rPr>
      <w:lang w:val="ro-RO"/>
    </w:rPr>
  </w:style>
  <w:style w:type="paragraph" w:styleId="Footer">
    <w:name w:val="footer"/>
    <w:basedOn w:val="Normal"/>
    <w:link w:val="Foot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F703E"/>
    <w:rPr>
      <w:lang w:val="ro-RO"/>
    </w:rPr>
  </w:style>
  <w:style w:type="paragraph" w:styleId="ListParagraph">
    <w:name w:val="List Paragraph"/>
    <w:basedOn w:val="Normal"/>
    <w:uiPriority w:val="34"/>
    <w:qFormat/>
    <w:rsid w:val="001C09E5"/>
    <w:pPr>
      <w:ind w:left="720"/>
      <w:contextualSpacing/>
    </w:pPr>
  </w:style>
  <w:style w:type="paragraph" w:styleId="NoSpacing">
    <w:name w:val="No Spacing"/>
    <w:uiPriority w:val="1"/>
    <w:qFormat/>
    <w:rsid w:val="0094734F"/>
    <w:pPr>
      <w:spacing w:after="0" w:line="240" w:lineRule="auto"/>
    </w:pPr>
    <w:rPr>
      <w:rFonts w:ascii="Times New Roman" w:eastAsia="Times New Roman" w:hAnsi="Times New Roman" w:cs="Times New Roman"/>
      <w:sz w:val="26"/>
      <w:szCs w:val="26"/>
      <w:lang w:val="ro-RO"/>
    </w:rPr>
  </w:style>
  <w:style w:type="character" w:customStyle="1" w:styleId="Bodytext">
    <w:name w:val="Body text_"/>
    <w:link w:val="Bodytext0"/>
    <w:rsid w:val="00151737"/>
    <w:rPr>
      <w:rFonts w:ascii="Times New Roman" w:eastAsia="Times New Roman" w:hAnsi="Times New Roman" w:cs="Times New Roman"/>
      <w:spacing w:val="12"/>
      <w:sz w:val="17"/>
      <w:szCs w:val="17"/>
      <w:shd w:val="clear" w:color="auto" w:fill="FFFFFF"/>
    </w:rPr>
  </w:style>
  <w:style w:type="paragraph" w:customStyle="1" w:styleId="Bodytext0">
    <w:name w:val="Body text"/>
    <w:basedOn w:val="Normal"/>
    <w:link w:val="Bodytext"/>
    <w:rsid w:val="00151737"/>
    <w:pPr>
      <w:widowControl w:val="0"/>
      <w:shd w:val="clear" w:color="auto" w:fill="FFFFFF"/>
      <w:spacing w:after="180" w:line="241" w:lineRule="exact"/>
    </w:pPr>
    <w:rPr>
      <w:spacing w:val="12"/>
      <w:sz w:val="17"/>
      <w:szCs w:val="17"/>
      <w:lang w:val="en-US"/>
    </w:rPr>
  </w:style>
  <w:style w:type="character" w:styleId="SubtleEmphasis">
    <w:name w:val="Subtle Emphasis"/>
    <w:uiPriority w:val="19"/>
    <w:qFormat/>
    <w:rsid w:val="00151737"/>
    <w:rPr>
      <w:i/>
      <w:iCs/>
      <w:color w:val="808080"/>
    </w:rPr>
  </w:style>
</w:styles>
</file>

<file path=word/webSettings.xml><?xml version="1.0" encoding="utf-8"?>
<w:webSettings xmlns:r="http://schemas.openxmlformats.org/officeDocument/2006/relationships" xmlns:w="http://schemas.openxmlformats.org/wordprocessingml/2006/main">
  <w:divs>
    <w:div w:id="294334982">
      <w:bodyDiv w:val="1"/>
      <w:marLeft w:val="0"/>
      <w:marRight w:val="0"/>
      <w:marTop w:val="0"/>
      <w:marBottom w:val="0"/>
      <w:divBdr>
        <w:top w:val="none" w:sz="0" w:space="0" w:color="auto"/>
        <w:left w:val="none" w:sz="0" w:space="0" w:color="auto"/>
        <w:bottom w:val="none" w:sz="0" w:space="0" w:color="auto"/>
        <w:right w:val="none" w:sz="0" w:space="0" w:color="auto"/>
      </w:divBdr>
    </w:div>
    <w:div w:id="1328707169">
      <w:bodyDiv w:val="1"/>
      <w:marLeft w:val="0"/>
      <w:marRight w:val="0"/>
      <w:marTop w:val="0"/>
      <w:marBottom w:val="0"/>
      <w:divBdr>
        <w:top w:val="none" w:sz="0" w:space="0" w:color="auto"/>
        <w:left w:val="none" w:sz="0" w:space="0" w:color="auto"/>
        <w:bottom w:val="none" w:sz="0" w:space="0" w:color="auto"/>
        <w:right w:val="none" w:sz="0" w:space="0" w:color="auto"/>
      </w:divBdr>
    </w:div>
    <w:div w:id="1519658291">
      <w:bodyDiv w:val="1"/>
      <w:marLeft w:val="0"/>
      <w:marRight w:val="0"/>
      <w:marTop w:val="0"/>
      <w:marBottom w:val="0"/>
      <w:divBdr>
        <w:top w:val="none" w:sz="0" w:space="0" w:color="auto"/>
        <w:left w:val="none" w:sz="0" w:space="0" w:color="auto"/>
        <w:bottom w:val="none" w:sz="0" w:space="0" w:color="auto"/>
        <w:right w:val="none" w:sz="0" w:space="0" w:color="auto"/>
      </w:divBdr>
    </w:div>
    <w:div w:id="1637493731">
      <w:bodyDiv w:val="1"/>
      <w:marLeft w:val="0"/>
      <w:marRight w:val="0"/>
      <w:marTop w:val="0"/>
      <w:marBottom w:val="0"/>
      <w:divBdr>
        <w:top w:val="none" w:sz="0" w:space="0" w:color="auto"/>
        <w:left w:val="none" w:sz="0" w:space="0" w:color="auto"/>
        <w:bottom w:val="none" w:sz="0" w:space="0" w:color="auto"/>
        <w:right w:val="none" w:sz="0" w:space="0" w:color="auto"/>
      </w:divBdr>
    </w:div>
    <w:div w:id="1770466634">
      <w:bodyDiv w:val="1"/>
      <w:marLeft w:val="0"/>
      <w:marRight w:val="0"/>
      <w:marTop w:val="0"/>
      <w:marBottom w:val="0"/>
      <w:divBdr>
        <w:top w:val="none" w:sz="0" w:space="0" w:color="auto"/>
        <w:left w:val="none" w:sz="0" w:space="0" w:color="auto"/>
        <w:bottom w:val="none" w:sz="0" w:space="0" w:color="auto"/>
        <w:right w:val="none" w:sz="0" w:space="0" w:color="auto"/>
      </w:divBdr>
    </w:div>
    <w:div w:id="17887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1028C-289D-42D4-BF7A-0E1B6C74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1034</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dstefan</dc:creator>
  <cp:keywords/>
  <dc:description/>
  <cp:lastModifiedBy>iciucur</cp:lastModifiedBy>
  <cp:revision>2</cp:revision>
  <cp:lastPrinted>2018-02-12T14:18:00Z</cp:lastPrinted>
  <dcterms:created xsi:type="dcterms:W3CDTF">2018-03-14T06:22:00Z</dcterms:created>
  <dcterms:modified xsi:type="dcterms:W3CDTF">2018-03-14T06:22:00Z</dcterms:modified>
</cp:coreProperties>
</file>