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3F95" w:rsidRPr="00B20FBA" w:rsidRDefault="00AC3F95" w:rsidP="00BE4791">
      <w:pPr>
        <w:ind w:right="43"/>
        <w:jc w:val="both"/>
        <w:rPr>
          <w:lang w:val="ro-RO"/>
        </w:rPr>
      </w:pPr>
      <w:r w:rsidRPr="00B20FBA">
        <w:rPr>
          <w:lang w:val="ro-RO"/>
        </w:rPr>
        <w:t>UR201</w:t>
      </w:r>
      <w:r w:rsidR="00586EDB" w:rsidRPr="00B20FBA">
        <w:rPr>
          <w:lang w:val="ro-RO"/>
        </w:rPr>
        <w:t>8</w:t>
      </w:r>
      <w:r w:rsidRPr="00B20FBA">
        <w:rPr>
          <w:lang w:val="ro-RO"/>
        </w:rPr>
        <w:t>-0</w:t>
      </w:r>
      <w:r w:rsidR="00586EDB" w:rsidRPr="00B20FBA">
        <w:rPr>
          <w:lang w:val="ro-RO"/>
        </w:rPr>
        <w:t>00539/23.01.2018</w:t>
      </w:r>
      <w:r w:rsidR="008E34A3">
        <w:rPr>
          <w:lang w:val="ro-RO"/>
        </w:rPr>
        <w:t>.</w:t>
      </w:r>
    </w:p>
    <w:p w:rsidR="00AC3F95" w:rsidRPr="00B20FBA" w:rsidRDefault="00AC3F95" w:rsidP="0008736D">
      <w:pPr>
        <w:pStyle w:val="Heading1"/>
        <w:numPr>
          <w:ilvl w:val="0"/>
          <w:numId w:val="0"/>
        </w:numPr>
        <w:ind w:left="432" w:hanging="432"/>
        <w:rPr>
          <w:rFonts w:ascii="Times New Roman" w:hAnsi="Times New Roman" w:cs="Times New Roman"/>
          <w:szCs w:val="24"/>
          <w:lang w:val="ro-RO"/>
        </w:rPr>
      </w:pPr>
    </w:p>
    <w:p w:rsidR="00AC3F95" w:rsidRPr="00B20FBA" w:rsidRDefault="00AC3F95" w:rsidP="0008736D">
      <w:pPr>
        <w:pStyle w:val="Heading1"/>
        <w:numPr>
          <w:ilvl w:val="0"/>
          <w:numId w:val="0"/>
        </w:numPr>
        <w:ind w:left="432" w:hanging="432"/>
        <w:rPr>
          <w:rFonts w:ascii="Times New Roman" w:hAnsi="Times New Roman" w:cs="Times New Roman"/>
          <w:szCs w:val="24"/>
          <w:lang w:val="ro-RO"/>
        </w:rPr>
      </w:pPr>
    </w:p>
    <w:p w:rsidR="00AC3F95" w:rsidRPr="00B20FBA" w:rsidRDefault="00AC3F95" w:rsidP="00BE4791">
      <w:pPr>
        <w:ind w:right="43"/>
        <w:jc w:val="both"/>
        <w:rPr>
          <w:lang w:val="ro-RO"/>
        </w:rPr>
      </w:pPr>
    </w:p>
    <w:p w:rsidR="00AC3F95" w:rsidRPr="00B20FBA" w:rsidRDefault="00AC3F95" w:rsidP="00BE4791">
      <w:pPr>
        <w:autoSpaceDE w:val="0"/>
        <w:jc w:val="center"/>
        <w:rPr>
          <w:bCs/>
          <w:lang w:val="ro-RO"/>
        </w:rPr>
      </w:pPr>
      <w:r w:rsidRPr="00B20FBA">
        <w:rPr>
          <w:b/>
          <w:bCs/>
          <w:lang w:val="ro-RO"/>
        </w:rPr>
        <w:t>RAPORT DE SPECIALITATE</w:t>
      </w:r>
    </w:p>
    <w:p w:rsidR="00B20FBA" w:rsidRDefault="00AC3F95" w:rsidP="00B20FBA">
      <w:pPr>
        <w:spacing w:line="276" w:lineRule="auto"/>
        <w:contextualSpacing/>
        <w:jc w:val="center"/>
        <w:outlineLvl w:val="0"/>
        <w:rPr>
          <w:b/>
          <w:lang w:val="ro-RO"/>
        </w:rPr>
      </w:pPr>
      <w:r w:rsidRPr="00B20FBA">
        <w:rPr>
          <w:b/>
          <w:bCs/>
          <w:lang w:val="ro-RO"/>
        </w:rPr>
        <w:t xml:space="preserve">privind aprobarea Planului Urbanistic Zonal </w:t>
      </w:r>
      <w:r w:rsidR="00586EDB" w:rsidRPr="00B20FBA">
        <w:rPr>
          <w:b/>
          <w:lang w:val="ro-RO"/>
        </w:rPr>
        <w:t xml:space="preserve">„Dezvoltare zonă mixtă: comerţ, servicii, funcţiuni administrative şi birouri în regim de înălţime S+P+8E” </w:t>
      </w:r>
    </w:p>
    <w:p w:rsidR="00586EDB" w:rsidRPr="00B20FBA" w:rsidRDefault="00586EDB" w:rsidP="00B20FBA">
      <w:pPr>
        <w:spacing w:line="276" w:lineRule="auto"/>
        <w:contextualSpacing/>
        <w:jc w:val="center"/>
        <w:outlineLvl w:val="0"/>
        <w:rPr>
          <w:b/>
          <w:lang w:val="ro-RO" w:bidi="th-TH"/>
        </w:rPr>
      </w:pPr>
      <w:r w:rsidRPr="00B20FBA">
        <w:rPr>
          <w:b/>
          <w:lang w:val="ro-RO"/>
        </w:rPr>
        <w:t>Bulevardul Industriei nr. 2, Timişoara</w:t>
      </w:r>
    </w:p>
    <w:p w:rsidR="00AC3F95" w:rsidRPr="00B20FBA" w:rsidRDefault="00AC3F95" w:rsidP="00BE4791">
      <w:pPr>
        <w:autoSpaceDE w:val="0"/>
        <w:rPr>
          <w:b/>
          <w:bCs/>
          <w:color w:val="FF0000"/>
          <w:lang w:val="ro-RO"/>
        </w:rPr>
      </w:pPr>
    </w:p>
    <w:p w:rsidR="00AC3F95" w:rsidRPr="00B20FBA" w:rsidRDefault="00AC3F95" w:rsidP="00BE4791">
      <w:pPr>
        <w:autoSpaceDE w:val="0"/>
        <w:rPr>
          <w:b/>
          <w:bCs/>
          <w:lang w:val="ro-RO"/>
        </w:rPr>
      </w:pPr>
    </w:p>
    <w:p w:rsidR="00AC3F95" w:rsidRPr="00B20FBA" w:rsidRDefault="00AC3F95" w:rsidP="00B20FBA">
      <w:pPr>
        <w:spacing w:line="276" w:lineRule="auto"/>
        <w:ind w:firstLine="720"/>
        <w:contextualSpacing/>
        <w:jc w:val="both"/>
        <w:outlineLvl w:val="0"/>
        <w:rPr>
          <w:b/>
          <w:lang w:val="ro-RO" w:bidi="th-TH"/>
        </w:rPr>
      </w:pPr>
      <w:r w:rsidRPr="00B20FBA">
        <w:rPr>
          <w:lang w:val="ro-RO"/>
        </w:rPr>
        <w:t>Având în vedere Expunerea de motive nr. SC2017-</w:t>
      </w:r>
      <w:r w:rsidR="007231F7" w:rsidRPr="00B20FBA">
        <w:rPr>
          <w:lang w:val="ro-RO"/>
        </w:rPr>
        <w:t>0</w:t>
      </w:r>
      <w:r w:rsidR="00586EDB" w:rsidRPr="00B20FBA">
        <w:rPr>
          <w:lang w:val="ro-RO"/>
        </w:rPr>
        <w:t>00639</w:t>
      </w:r>
      <w:r w:rsidR="00B461A6" w:rsidRPr="00B20FBA">
        <w:rPr>
          <w:lang w:val="ro-RO"/>
        </w:rPr>
        <w:t>/</w:t>
      </w:r>
      <w:r w:rsidR="00586EDB" w:rsidRPr="00B20FBA">
        <w:rPr>
          <w:lang w:val="ro-RO"/>
        </w:rPr>
        <w:t>23.01.2018</w:t>
      </w:r>
      <w:r w:rsidRPr="00B20FBA">
        <w:rPr>
          <w:lang w:val="ro-RO"/>
        </w:rPr>
        <w:t xml:space="preserve"> a Primarului Municipiului Timişoara şi Proiectul de hotărâre privind aprobarea Planului Urbanistic Zonal </w:t>
      </w:r>
      <w:r w:rsidR="00586EDB" w:rsidRPr="00B20FBA">
        <w:rPr>
          <w:b/>
          <w:lang w:val="ro-RO"/>
        </w:rPr>
        <w:t>„Dezvoltare zonă mixtă: comerţ, servicii, funcţiuni administrative şi birouri în regim de înălţime S+P+8E” Bulevardul Industriei nr. 2, Timişoara</w:t>
      </w:r>
      <w:r w:rsidRPr="00B20FBA">
        <w:rPr>
          <w:lang w:val="ro-RO"/>
        </w:rPr>
        <w:t>, prin care se propune</w:t>
      </w:r>
      <w:r w:rsidR="00B461A6" w:rsidRPr="00B20FBA">
        <w:rPr>
          <w:lang w:val="ro-RO"/>
        </w:rPr>
        <w:t xml:space="preserve"> </w:t>
      </w:r>
      <w:r w:rsidR="00B461A6" w:rsidRPr="00B20FBA">
        <w:rPr>
          <w:bCs/>
          <w:lang w:val="ro-RO"/>
        </w:rPr>
        <w:t>dezvoltarea</w:t>
      </w:r>
      <w:r w:rsidR="00586EDB" w:rsidRPr="00B20FBA">
        <w:rPr>
          <w:lang w:val="ro-RO"/>
        </w:rPr>
        <w:t xml:space="preserve"> </w:t>
      </w:r>
      <w:r w:rsidR="00586EDB" w:rsidRPr="00B20FBA">
        <w:rPr>
          <w:bCs/>
          <w:lang w:val="ro-RO"/>
        </w:rPr>
        <w:t>unei zone mixte comert, servicii, functiuni administrative si birouri, in regim de inaltime maxim S+P+8E</w:t>
      </w:r>
      <w:r w:rsidRPr="00B20FBA">
        <w:rPr>
          <w:lang w:val="ro-RO"/>
        </w:rPr>
        <w:t>;</w:t>
      </w:r>
    </w:p>
    <w:p w:rsidR="00B461A6" w:rsidRPr="00B20FBA" w:rsidRDefault="00B461A6" w:rsidP="004669FD">
      <w:pPr>
        <w:pStyle w:val="BodyTextIndent21"/>
        <w:ind w:firstLine="720"/>
        <w:jc w:val="both"/>
        <w:rPr>
          <w:rFonts w:ascii="Times New Roman" w:hAnsi="Times New Roman" w:cs="Times New Roman"/>
          <w:b w:val="0"/>
          <w:color w:val="FF0000"/>
          <w:szCs w:val="24"/>
          <w:lang w:val="ro-RO"/>
        </w:rPr>
      </w:pPr>
    </w:p>
    <w:p w:rsidR="00AC3F95" w:rsidRPr="00B20FBA" w:rsidRDefault="00AC3F95" w:rsidP="004669FD">
      <w:pPr>
        <w:pStyle w:val="BodyTextIndent21"/>
        <w:ind w:firstLine="720"/>
        <w:jc w:val="both"/>
        <w:rPr>
          <w:rFonts w:ascii="Times New Roman" w:hAnsi="Times New Roman" w:cs="Times New Roman"/>
          <w:szCs w:val="24"/>
          <w:lang w:val="ro-RO"/>
        </w:rPr>
      </w:pPr>
      <w:r w:rsidRPr="00B20FBA">
        <w:rPr>
          <w:rFonts w:ascii="Times New Roman" w:hAnsi="Times New Roman" w:cs="Times New Roman"/>
          <w:szCs w:val="24"/>
          <w:lang w:val="ro-RO"/>
        </w:rPr>
        <w:t>Facem următoarele precizări:</w:t>
      </w:r>
    </w:p>
    <w:p w:rsidR="00B461A6" w:rsidRPr="00B20FBA" w:rsidRDefault="00B461A6" w:rsidP="004669FD">
      <w:pPr>
        <w:pStyle w:val="BodyTextIndent21"/>
        <w:ind w:firstLine="720"/>
        <w:jc w:val="both"/>
        <w:rPr>
          <w:rFonts w:ascii="Times New Roman" w:hAnsi="Times New Roman" w:cs="Times New Roman"/>
          <w:szCs w:val="24"/>
          <w:lang w:val="ro-RO"/>
        </w:rPr>
      </w:pPr>
    </w:p>
    <w:p w:rsidR="00AC3F95" w:rsidRPr="00B20FBA" w:rsidRDefault="00AC3F95" w:rsidP="00BE4791">
      <w:pPr>
        <w:pStyle w:val="BodyTextIndent21"/>
        <w:ind w:firstLine="720"/>
        <w:jc w:val="both"/>
        <w:rPr>
          <w:rFonts w:ascii="Times New Roman" w:hAnsi="Times New Roman" w:cs="Times New Roman"/>
          <w:szCs w:val="24"/>
          <w:lang w:val="ro-RO"/>
        </w:rPr>
      </w:pPr>
      <w:r w:rsidRPr="00B20FBA">
        <w:rPr>
          <w:rFonts w:ascii="Times New Roman" w:hAnsi="Times New Roman" w:cs="Times New Roman"/>
          <w:b w:val="0"/>
          <w:szCs w:val="24"/>
          <w:lang w:val="ro-RO"/>
        </w:rPr>
        <w:t>Având în vedere solicitarea înregistrată cu nr. UR201</w:t>
      </w:r>
      <w:r w:rsidR="00586EDB" w:rsidRPr="00B20FBA">
        <w:rPr>
          <w:rFonts w:ascii="Times New Roman" w:hAnsi="Times New Roman" w:cs="Times New Roman"/>
          <w:b w:val="0"/>
          <w:szCs w:val="24"/>
          <w:lang w:val="ro-RO"/>
        </w:rPr>
        <w:t>8-000639/18.01.2018</w:t>
      </w:r>
      <w:r w:rsidR="007231F7" w:rsidRPr="00B20FBA">
        <w:rPr>
          <w:rFonts w:ascii="Times New Roman" w:hAnsi="Times New Roman" w:cs="Times New Roman"/>
          <w:b w:val="0"/>
          <w:szCs w:val="24"/>
          <w:lang w:val="ro-RO"/>
        </w:rPr>
        <w:t xml:space="preserve">, </w:t>
      </w:r>
      <w:r w:rsidRPr="00B20FBA">
        <w:rPr>
          <w:rFonts w:ascii="Times New Roman" w:hAnsi="Times New Roman" w:cs="Times New Roman"/>
          <w:b w:val="0"/>
          <w:szCs w:val="24"/>
          <w:lang w:val="ro-RO"/>
        </w:rPr>
        <w:t xml:space="preserve">privind aprobarea Planului Urbanistic </w:t>
      </w:r>
      <w:r w:rsidRPr="00B20FBA">
        <w:rPr>
          <w:rFonts w:ascii="Times New Roman" w:hAnsi="Times New Roman" w:cs="Times New Roman"/>
          <w:b w:val="0"/>
          <w:bCs/>
          <w:szCs w:val="24"/>
          <w:lang w:val="ro-RO"/>
        </w:rPr>
        <w:t>Zonal</w:t>
      </w:r>
      <w:r w:rsidR="00F16655" w:rsidRPr="00B20FBA">
        <w:rPr>
          <w:rFonts w:ascii="Times New Roman" w:hAnsi="Times New Roman" w:cs="Times New Roman"/>
          <w:b w:val="0"/>
          <w:bCs/>
          <w:szCs w:val="24"/>
          <w:lang w:val="ro-RO"/>
        </w:rPr>
        <w:t xml:space="preserve"> </w:t>
      </w:r>
      <w:r w:rsidR="00E81C09" w:rsidRPr="00B20FBA">
        <w:rPr>
          <w:rFonts w:ascii="Times New Roman" w:hAnsi="Times New Roman" w:cs="Times New Roman"/>
          <w:b w:val="0"/>
          <w:bCs/>
          <w:szCs w:val="24"/>
          <w:lang w:val="ro-RO"/>
        </w:rPr>
        <w:t>„</w:t>
      </w:r>
      <w:r w:rsidR="00586EDB" w:rsidRPr="00B20FBA">
        <w:rPr>
          <w:rFonts w:ascii="Times New Roman" w:hAnsi="Times New Roman" w:cs="Times New Roman"/>
          <w:szCs w:val="24"/>
          <w:lang w:val="ro-RO"/>
        </w:rPr>
        <w:t>Dezvoltare zonă mixtă: comerţ, servicii, funcţiuni administrative şi birouri în regim de înălţime S+P+8E” Bulevardul Industriei nr. 2, Timişoara</w:t>
      </w:r>
      <w:r w:rsidRPr="00B20FBA">
        <w:rPr>
          <w:rFonts w:ascii="Times New Roman" w:hAnsi="Times New Roman" w:cs="Times New Roman"/>
          <w:szCs w:val="24"/>
          <w:lang w:val="ro-RO"/>
        </w:rPr>
        <w:t>;</w:t>
      </w:r>
    </w:p>
    <w:p w:rsidR="00AC3F95" w:rsidRPr="00B20FBA" w:rsidRDefault="00AC3F95" w:rsidP="00BE4791">
      <w:pPr>
        <w:pStyle w:val="BodyTextIndent21"/>
        <w:ind w:firstLine="720"/>
        <w:jc w:val="both"/>
        <w:rPr>
          <w:rFonts w:ascii="Times New Roman" w:hAnsi="Times New Roman" w:cs="Times New Roman"/>
          <w:szCs w:val="24"/>
          <w:lang w:val="ro-RO"/>
        </w:rPr>
      </w:pPr>
      <w:r w:rsidRPr="00B20FBA">
        <w:rPr>
          <w:rFonts w:ascii="Times New Roman" w:hAnsi="Times New Roman" w:cs="Times New Roman"/>
          <w:b w:val="0"/>
          <w:szCs w:val="24"/>
          <w:lang w:val="ro-RO"/>
        </w:rPr>
        <w:t>Având în vedere prevederile Planului Urbanistic General al Municipiului Timişoara</w:t>
      </w:r>
      <w:r w:rsidR="00F16655" w:rsidRPr="00B20FBA">
        <w:rPr>
          <w:rFonts w:ascii="Times New Roman" w:hAnsi="Times New Roman" w:cs="Times New Roman"/>
          <w:b w:val="0"/>
          <w:szCs w:val="24"/>
          <w:lang w:val="ro-RO"/>
        </w:rPr>
        <w:t xml:space="preserve"> aprobat cu HCL 157/2002, prelungit cu HCL 131/2017</w:t>
      </w:r>
      <w:r w:rsidRPr="00B20FBA">
        <w:rPr>
          <w:rFonts w:ascii="Times New Roman" w:hAnsi="Times New Roman" w:cs="Times New Roman"/>
          <w:b w:val="0"/>
          <w:szCs w:val="24"/>
          <w:lang w:val="ro-RO"/>
        </w:rPr>
        <w:t xml:space="preserve"> şi „Conceptul general de dezvoltare urban</w:t>
      </w:r>
      <w:r w:rsidR="00F16655" w:rsidRPr="00B20FBA">
        <w:rPr>
          <w:rFonts w:ascii="Times New Roman" w:hAnsi="Times New Roman" w:cs="Times New Roman"/>
          <w:b w:val="0"/>
          <w:szCs w:val="24"/>
          <w:lang w:val="ro-RO"/>
        </w:rPr>
        <w:t>ă</w:t>
      </w:r>
      <w:r w:rsidRPr="00B20FBA">
        <w:rPr>
          <w:rFonts w:ascii="Times New Roman" w:hAnsi="Times New Roman" w:cs="Times New Roman"/>
          <w:b w:val="0"/>
          <w:szCs w:val="24"/>
          <w:lang w:val="ro-RO"/>
        </w:rPr>
        <w:t xml:space="preserve"> (MASTERPLAN)” aprobat cu H.C.L. 61/2012 promovate de către Consiliul Local al Municipiului Timişoara;</w:t>
      </w:r>
    </w:p>
    <w:p w:rsidR="00AC3F95" w:rsidRPr="00B20FBA" w:rsidRDefault="00AC3F95" w:rsidP="00BE4791">
      <w:pPr>
        <w:ind w:firstLine="720"/>
        <w:jc w:val="both"/>
        <w:rPr>
          <w:lang w:val="ro-RO"/>
        </w:rPr>
      </w:pPr>
      <w:r w:rsidRPr="00B20FBA">
        <w:rPr>
          <w:lang w:val="ro-RO"/>
        </w:rPr>
        <w:t xml:space="preserve">Ţinând cont de </w:t>
      </w:r>
      <w:r w:rsidR="00586EDB" w:rsidRPr="00B20FBA">
        <w:rPr>
          <w:b/>
          <w:lang w:val="ro-RO"/>
        </w:rPr>
        <w:t>Avizul de Oportunitate nr. 31</w:t>
      </w:r>
      <w:r w:rsidRPr="00B20FBA">
        <w:rPr>
          <w:b/>
          <w:lang w:val="ro-RO"/>
        </w:rPr>
        <w:t>/</w:t>
      </w:r>
      <w:r w:rsidR="00586EDB" w:rsidRPr="00B20FBA">
        <w:rPr>
          <w:b/>
          <w:lang w:val="ro-RO"/>
        </w:rPr>
        <w:t>27.07.2017</w:t>
      </w:r>
      <w:r w:rsidRPr="00B20FBA">
        <w:rPr>
          <w:b/>
          <w:lang w:val="ro-RO"/>
        </w:rPr>
        <w:t>, Av</w:t>
      </w:r>
      <w:r w:rsidR="00586EDB" w:rsidRPr="00B20FBA">
        <w:rPr>
          <w:b/>
          <w:lang w:val="ro-RO"/>
        </w:rPr>
        <w:t>izul Arhitectului Sef nr. 31</w:t>
      </w:r>
      <w:r w:rsidRPr="00B20FBA">
        <w:rPr>
          <w:b/>
          <w:lang w:val="ro-RO"/>
        </w:rPr>
        <w:t>/</w:t>
      </w:r>
      <w:r w:rsidR="00586EDB" w:rsidRPr="00B20FBA">
        <w:rPr>
          <w:b/>
          <w:lang w:val="ro-RO"/>
        </w:rPr>
        <w:t>14.12.2017</w:t>
      </w:r>
      <w:r w:rsidRPr="00B20FBA">
        <w:rPr>
          <w:b/>
          <w:lang w:val="ro-RO"/>
        </w:rPr>
        <w:t>;</w:t>
      </w:r>
    </w:p>
    <w:p w:rsidR="00AC3F95" w:rsidRPr="00B20FBA" w:rsidRDefault="00AC3F95" w:rsidP="00BE4791">
      <w:pPr>
        <w:ind w:firstLine="720"/>
        <w:jc w:val="both"/>
        <w:rPr>
          <w:lang w:val="ro-RO"/>
        </w:rPr>
      </w:pPr>
      <w:r w:rsidRPr="00B20FBA">
        <w:rPr>
          <w:lang w:val="ro-RO"/>
        </w:rPr>
        <w:t>Având în vedere prevederile</w:t>
      </w:r>
      <w:r w:rsidRPr="00B20FBA">
        <w:rPr>
          <w:b/>
          <w:lang w:val="ro-RO"/>
        </w:rPr>
        <w:t xml:space="preserve"> Certificatului de Urbanism nr. </w:t>
      </w:r>
      <w:r w:rsidR="00F16655" w:rsidRPr="00B20FBA">
        <w:rPr>
          <w:b/>
          <w:lang w:val="ro-RO"/>
        </w:rPr>
        <w:t>298</w:t>
      </w:r>
      <w:r w:rsidR="00586EDB" w:rsidRPr="00B20FBA">
        <w:rPr>
          <w:b/>
          <w:lang w:val="ro-RO"/>
        </w:rPr>
        <w:t>0</w:t>
      </w:r>
      <w:r w:rsidRPr="00B20FBA">
        <w:rPr>
          <w:b/>
          <w:lang w:val="ro-RO"/>
        </w:rPr>
        <w:t xml:space="preserve"> din </w:t>
      </w:r>
      <w:r w:rsidR="00586EDB" w:rsidRPr="00B20FBA">
        <w:rPr>
          <w:b/>
          <w:lang w:val="ro-RO"/>
        </w:rPr>
        <w:t>0</w:t>
      </w:r>
      <w:r w:rsidR="00F16655" w:rsidRPr="00B20FBA">
        <w:rPr>
          <w:b/>
          <w:lang w:val="ro-RO"/>
        </w:rPr>
        <w:t>5.07.201</w:t>
      </w:r>
      <w:r w:rsidR="00586EDB" w:rsidRPr="00B20FBA">
        <w:rPr>
          <w:b/>
          <w:lang w:val="ro-RO"/>
        </w:rPr>
        <w:t>7</w:t>
      </w:r>
      <w:r w:rsidRPr="00B20FBA">
        <w:rPr>
          <w:b/>
          <w:lang w:val="ro-RO"/>
        </w:rPr>
        <w:t xml:space="preserve">, </w:t>
      </w:r>
      <w:r w:rsidRPr="00B20FBA">
        <w:rPr>
          <w:lang w:val="ro-RO"/>
        </w:rPr>
        <w:t>precum şi</w:t>
      </w:r>
      <w:r w:rsidRPr="00B20FBA">
        <w:rPr>
          <w:b/>
          <w:lang w:val="ro-RO"/>
        </w:rPr>
        <w:t xml:space="preserve"> D</w:t>
      </w:r>
      <w:r w:rsidR="00586EDB" w:rsidRPr="00B20FBA">
        <w:rPr>
          <w:b/>
          <w:lang w:val="ro-RO"/>
        </w:rPr>
        <w:t>ecizia Etapei de încadrare nr. 87</w:t>
      </w:r>
      <w:r w:rsidR="00F16655" w:rsidRPr="00B20FBA">
        <w:rPr>
          <w:b/>
          <w:lang w:val="ro-RO"/>
        </w:rPr>
        <w:t xml:space="preserve"> din 2</w:t>
      </w:r>
      <w:r w:rsidR="00586EDB" w:rsidRPr="00B20FBA">
        <w:rPr>
          <w:b/>
          <w:lang w:val="ro-RO"/>
        </w:rPr>
        <w:t>7.11.2017</w:t>
      </w:r>
      <w:r w:rsidRPr="00B20FBA">
        <w:rPr>
          <w:b/>
          <w:lang w:val="ro-RO"/>
        </w:rPr>
        <w:t xml:space="preserve"> a Agenţiei pentru Protecţia Mediului Timiş prin </w:t>
      </w:r>
      <w:r w:rsidRPr="00B20FBA">
        <w:rPr>
          <w:lang w:val="ro-RO"/>
        </w:rPr>
        <w:t>care anunţă ca planul nu necesită evaluare de mediu şi</w:t>
      </w:r>
      <w:r w:rsidRPr="00B20FBA">
        <w:rPr>
          <w:b/>
          <w:lang w:val="ro-RO"/>
        </w:rPr>
        <w:t xml:space="preserve"> se adoptă fără aviz de mediu</w:t>
      </w:r>
      <w:r w:rsidRPr="00B20FBA">
        <w:rPr>
          <w:lang w:val="ro-RO"/>
        </w:rPr>
        <w:t xml:space="preserve">; </w:t>
      </w:r>
    </w:p>
    <w:p w:rsidR="00AC3F95" w:rsidRPr="00B20FBA" w:rsidRDefault="00AC3F95" w:rsidP="00E81C09">
      <w:pPr>
        <w:ind w:firstLine="720"/>
        <w:jc w:val="both"/>
        <w:rPr>
          <w:b/>
          <w:i/>
          <w:lang w:val="ro-RO"/>
        </w:rPr>
      </w:pPr>
      <w:r w:rsidRPr="00B20FBA">
        <w:rPr>
          <w:b/>
          <w:i/>
          <w:lang w:val="ro-RO"/>
        </w:rPr>
        <w:t>Documentaţia PUZ</w:t>
      </w:r>
      <w:r w:rsidR="002F5A79" w:rsidRPr="00B20FBA">
        <w:rPr>
          <w:b/>
          <w:i/>
          <w:lang w:val="ro-RO"/>
        </w:rPr>
        <w:t xml:space="preserve"> </w:t>
      </w:r>
      <w:r w:rsidR="00E81C09" w:rsidRPr="00B20FBA">
        <w:rPr>
          <w:b/>
          <w:bCs/>
          <w:i/>
          <w:lang w:val="ro-RO"/>
        </w:rPr>
        <w:t>„</w:t>
      </w:r>
      <w:r w:rsidR="00E81C09" w:rsidRPr="00B20FBA">
        <w:rPr>
          <w:b/>
          <w:i/>
          <w:lang w:val="ro-RO"/>
        </w:rPr>
        <w:t>Dezvoltare zonă mixtă: comerţ, servicii, funcţiuni administrative şi birouri în regim de înălţime S+P+8E” Bulevardul Industriei nr. 2, Timişoara</w:t>
      </w:r>
      <w:r w:rsidRPr="00B20FBA">
        <w:rPr>
          <w:b/>
          <w:i/>
          <w:lang w:val="ro-RO"/>
        </w:rPr>
        <w:t xml:space="preserve">, </w:t>
      </w:r>
      <w:r w:rsidR="002F5A79" w:rsidRPr="00B20FBA">
        <w:rPr>
          <w:b/>
          <w:bCs/>
          <w:i/>
          <w:lang w:val="ro-RO"/>
        </w:rPr>
        <w:t>beneficiar</w:t>
      </w:r>
      <w:r w:rsidR="00E81C09" w:rsidRPr="00B20FBA">
        <w:rPr>
          <w:b/>
          <w:bCs/>
          <w:i/>
          <w:lang w:val="ro-RO"/>
        </w:rPr>
        <w:t xml:space="preserve"> S.C. BEGA TEHNOMET S.A, proiectant SC 903 STUDIOARH SRLD, specialist cu drept de semnătură R.U.R. Arh. Lucian Stancu</w:t>
      </w:r>
      <w:r w:rsidRPr="00B20FBA">
        <w:rPr>
          <w:b/>
          <w:i/>
          <w:lang w:val="ro-RO"/>
        </w:rPr>
        <w:t xml:space="preserve">, a fost afişată pe site-ul oficial al Primăriei Municipiului Timişoara începând cu </w:t>
      </w:r>
      <w:r w:rsidR="00E81C09" w:rsidRPr="00B20FBA">
        <w:rPr>
          <w:b/>
          <w:i/>
          <w:lang w:val="ro-RO"/>
        </w:rPr>
        <w:t>30 august 201</w:t>
      </w:r>
      <w:r w:rsidR="002F5A79" w:rsidRPr="00B20FBA">
        <w:rPr>
          <w:b/>
          <w:i/>
          <w:lang w:val="ro-RO"/>
        </w:rPr>
        <w:t>7</w:t>
      </w:r>
      <w:r w:rsidRPr="00B20FBA">
        <w:rPr>
          <w:b/>
          <w:i/>
          <w:lang w:val="ro-RO"/>
        </w:rPr>
        <w:t>, cu ocazia demar</w:t>
      </w:r>
      <w:r w:rsidR="002F5A79" w:rsidRPr="00B20FBA">
        <w:rPr>
          <w:b/>
          <w:i/>
          <w:lang w:val="ro-RO"/>
        </w:rPr>
        <w:t>ării Etapei 2 – etapa elaboră</w:t>
      </w:r>
      <w:r w:rsidRPr="00B20FBA">
        <w:rPr>
          <w:b/>
          <w:i/>
          <w:lang w:val="ro-RO"/>
        </w:rPr>
        <w:t xml:space="preserve">rii propunerilor PUZ </w:t>
      </w:r>
      <w:r w:rsidR="002F5A79" w:rsidRPr="00B20FBA">
        <w:rPr>
          <w:b/>
          <w:i/>
          <w:lang w:val="ro-RO"/>
        </w:rPr>
        <w:t>ş</w:t>
      </w:r>
      <w:r w:rsidRPr="00B20FBA">
        <w:rPr>
          <w:b/>
          <w:i/>
          <w:lang w:val="ro-RO"/>
        </w:rPr>
        <w:t xml:space="preserve">i RLU aferent, de informare </w:t>
      </w:r>
      <w:r w:rsidR="002F5A79" w:rsidRPr="00B20FBA">
        <w:rPr>
          <w:b/>
          <w:i/>
          <w:lang w:val="ro-RO"/>
        </w:rPr>
        <w:t>ş</w:t>
      </w:r>
      <w:r w:rsidRPr="00B20FBA">
        <w:rPr>
          <w:b/>
          <w:i/>
          <w:lang w:val="ro-RO"/>
        </w:rPr>
        <w:t>i consultare a publicului, conform H.C.L. nr. 140/2011, modificat prin H.C.L. nr. 43/2016, etap</w:t>
      </w:r>
      <w:r w:rsidR="002F5A79" w:rsidRPr="00B20FBA">
        <w:rPr>
          <w:b/>
          <w:i/>
          <w:lang w:val="ro-RO"/>
        </w:rPr>
        <w:t>ă</w:t>
      </w:r>
      <w:r w:rsidRPr="00B20FBA">
        <w:rPr>
          <w:b/>
          <w:i/>
          <w:lang w:val="ro-RO"/>
        </w:rPr>
        <w:t xml:space="preserve"> finalizat</w:t>
      </w:r>
      <w:r w:rsidR="002F5A79" w:rsidRPr="00B20FBA">
        <w:rPr>
          <w:b/>
          <w:i/>
          <w:lang w:val="ro-RO"/>
        </w:rPr>
        <w:t>ă</w:t>
      </w:r>
      <w:r w:rsidRPr="00B20FBA">
        <w:rPr>
          <w:b/>
          <w:i/>
          <w:lang w:val="ro-RO"/>
        </w:rPr>
        <w:t xml:space="preserve"> prin afi</w:t>
      </w:r>
      <w:r w:rsidR="002F5A79" w:rsidRPr="00B20FBA">
        <w:rPr>
          <w:b/>
          <w:i/>
          <w:lang w:val="ro-RO"/>
        </w:rPr>
        <w:t>ş</w:t>
      </w:r>
      <w:r w:rsidRPr="00B20FBA">
        <w:rPr>
          <w:b/>
          <w:i/>
          <w:lang w:val="ro-RO"/>
        </w:rPr>
        <w:t xml:space="preserve">area pe site-ul Primăriei Municipiului Timişoara în </w:t>
      </w:r>
      <w:r w:rsidR="00E81C09" w:rsidRPr="00B20FBA">
        <w:rPr>
          <w:b/>
          <w:i/>
          <w:lang w:val="ro-RO"/>
        </w:rPr>
        <w:t>septembrie</w:t>
      </w:r>
      <w:r w:rsidRPr="00B20FBA">
        <w:rPr>
          <w:b/>
          <w:i/>
          <w:lang w:val="ro-RO"/>
        </w:rPr>
        <w:t xml:space="preserve"> 201</w:t>
      </w:r>
      <w:r w:rsidR="002F5A79" w:rsidRPr="00B20FBA">
        <w:rPr>
          <w:b/>
          <w:i/>
          <w:lang w:val="ro-RO"/>
        </w:rPr>
        <w:t>7</w:t>
      </w:r>
      <w:r w:rsidRPr="00B20FBA">
        <w:rPr>
          <w:b/>
          <w:i/>
          <w:lang w:val="ro-RO"/>
        </w:rPr>
        <w:t>, a Raportului informării şi consultării publicului cu nr.  UR201</w:t>
      </w:r>
      <w:r w:rsidR="002F5A79" w:rsidRPr="00B20FBA">
        <w:rPr>
          <w:b/>
          <w:i/>
          <w:lang w:val="ro-RO"/>
        </w:rPr>
        <w:t>7-0</w:t>
      </w:r>
      <w:r w:rsidR="00E81C09" w:rsidRPr="00B20FBA">
        <w:rPr>
          <w:b/>
          <w:i/>
          <w:lang w:val="ro-RO"/>
        </w:rPr>
        <w:t>13746/02.10</w:t>
      </w:r>
      <w:r w:rsidR="002F5A79" w:rsidRPr="00B20FBA">
        <w:rPr>
          <w:b/>
          <w:i/>
          <w:lang w:val="ro-RO"/>
        </w:rPr>
        <w:t>.2017</w:t>
      </w:r>
      <w:r w:rsidRPr="00B20FBA">
        <w:rPr>
          <w:b/>
          <w:i/>
          <w:lang w:val="ro-RO"/>
        </w:rPr>
        <w:t>;</w:t>
      </w:r>
    </w:p>
    <w:p w:rsidR="00AC3F95" w:rsidRPr="00B20FBA" w:rsidRDefault="00AC3F95" w:rsidP="00BE4791">
      <w:pPr>
        <w:ind w:firstLine="720"/>
        <w:jc w:val="both"/>
        <w:rPr>
          <w:b/>
          <w:i/>
          <w:color w:val="FF0000"/>
          <w:lang w:val="ro-RO"/>
        </w:rPr>
      </w:pPr>
      <w:r w:rsidRPr="00B20FBA">
        <w:rPr>
          <w:i/>
          <w:lang w:val="ro-RO"/>
        </w:rPr>
        <w:t xml:space="preserve">Conform procedurii prevăzută prin H.C.L. nr. 140/19.04.2011, modificat prin H.C.L. nr. 183/2017 privind aprobarea Regulamentului local de implicare a publicului in elaborarea sau </w:t>
      </w:r>
      <w:r w:rsidRPr="00B20FBA">
        <w:rPr>
          <w:i/>
          <w:lang w:val="ro-RO"/>
        </w:rPr>
        <w:lastRenderedPageBreak/>
        <w:t>revizuirea planurilor de urbanism si amenajare a teritoriului</w:t>
      </w:r>
      <w:r w:rsidRPr="00B20FBA">
        <w:rPr>
          <w:b/>
          <w:i/>
          <w:lang w:val="ro-RO"/>
        </w:rPr>
        <w:t>, documenta</w:t>
      </w:r>
      <w:r w:rsidR="003B38BB" w:rsidRPr="00B20FBA">
        <w:rPr>
          <w:b/>
          <w:i/>
          <w:lang w:val="ro-RO"/>
        </w:rPr>
        <w:t>ţ</w:t>
      </w:r>
      <w:r w:rsidRPr="00B20FBA">
        <w:rPr>
          <w:b/>
          <w:i/>
          <w:lang w:val="ro-RO"/>
        </w:rPr>
        <w:t xml:space="preserve">ia </w:t>
      </w:r>
      <w:r w:rsidRPr="00B20FBA">
        <w:rPr>
          <w:lang w:val="ro-RO"/>
        </w:rPr>
        <w:t xml:space="preserve">PUZ </w:t>
      </w:r>
      <w:r w:rsidR="00E81C09" w:rsidRPr="00B20FBA">
        <w:rPr>
          <w:b/>
          <w:bCs/>
          <w:i/>
          <w:lang w:val="ro-RO"/>
        </w:rPr>
        <w:t>„</w:t>
      </w:r>
      <w:r w:rsidR="00E81C09" w:rsidRPr="00B20FBA">
        <w:rPr>
          <w:b/>
          <w:i/>
          <w:lang w:val="ro-RO"/>
        </w:rPr>
        <w:t>Dezvoltare zonă mixtă: comerţ, servicii, funcţiuni administrative şi birouri în regim de înălţime S+P+8E” Bulevardul Industriei nr. 2, Timişoara</w:t>
      </w:r>
      <w:r w:rsidR="002F5A79" w:rsidRPr="00B20FBA">
        <w:rPr>
          <w:i/>
          <w:lang w:val="ro-RO"/>
        </w:rPr>
        <w:t xml:space="preserve"> </w:t>
      </w:r>
      <w:r w:rsidR="002F5A79" w:rsidRPr="00B20FBA">
        <w:rPr>
          <w:b/>
          <w:i/>
          <w:lang w:val="ro-RO"/>
        </w:rPr>
        <w:t>se î</w:t>
      </w:r>
      <w:r w:rsidRPr="00B20FBA">
        <w:rPr>
          <w:b/>
          <w:i/>
          <w:lang w:val="ro-RO"/>
        </w:rPr>
        <w:t>ncadreaz</w:t>
      </w:r>
      <w:r w:rsidR="002F5A79" w:rsidRPr="00B20FBA">
        <w:rPr>
          <w:b/>
          <w:i/>
          <w:lang w:val="ro-RO"/>
        </w:rPr>
        <w:t>ă</w:t>
      </w:r>
      <w:r w:rsidRPr="00B20FBA">
        <w:rPr>
          <w:b/>
          <w:i/>
          <w:lang w:val="ro-RO"/>
        </w:rPr>
        <w:t xml:space="preserve"> în Etapa 3 - </w:t>
      </w:r>
      <w:r w:rsidRPr="00B20FBA">
        <w:rPr>
          <w:i/>
          <w:lang w:val="ro-RO"/>
        </w:rPr>
        <w:t>etapa aprobării PUZ si RLU aferent (cap. 8.2.3., art. 63 din HCL nr. 140/2011, modif prin HCL nr. 138/2012), în baza Dispoziţiei Primarului nr. 92/ 15.01.2007 privind aprobarea Procedurii pentru aplicarea prevederilor Legii nr. 52/2003 privind transparenţa decizională în administraţia publică</w:t>
      </w:r>
      <w:r w:rsidRPr="00B20FBA">
        <w:rPr>
          <w:i/>
          <w:color w:val="FF0000"/>
          <w:lang w:val="ro-RO"/>
        </w:rPr>
        <w:t>;</w:t>
      </w:r>
    </w:p>
    <w:p w:rsidR="00AC3F95" w:rsidRPr="00B20FBA" w:rsidRDefault="00AC3F95" w:rsidP="00BE4791">
      <w:pPr>
        <w:autoSpaceDE w:val="0"/>
        <w:ind w:firstLine="720"/>
        <w:jc w:val="both"/>
        <w:rPr>
          <w:lang w:val="ro-RO"/>
        </w:rPr>
      </w:pPr>
      <w:r w:rsidRPr="00B20FBA">
        <w:rPr>
          <w:lang w:val="ro-RO"/>
        </w:rPr>
        <w:t xml:space="preserve">Planul Urbanistic </w:t>
      </w:r>
      <w:r w:rsidRPr="00B20FBA">
        <w:rPr>
          <w:bCs/>
          <w:lang w:val="ro-RO"/>
        </w:rPr>
        <w:t>Zonal</w:t>
      </w:r>
      <w:r w:rsidR="002F5A79" w:rsidRPr="00B20FBA">
        <w:rPr>
          <w:bCs/>
          <w:lang w:val="ro-RO"/>
        </w:rPr>
        <w:t xml:space="preserve"> </w:t>
      </w:r>
      <w:r w:rsidR="00E81C09" w:rsidRPr="00B20FBA">
        <w:rPr>
          <w:bCs/>
          <w:lang w:val="ro-RO"/>
        </w:rPr>
        <w:t>„</w:t>
      </w:r>
      <w:r w:rsidR="00E81C09" w:rsidRPr="00B20FBA">
        <w:rPr>
          <w:lang w:val="ro-RO"/>
        </w:rPr>
        <w:t>Dezvoltare zonă mixtă: comerţ, servicii, funcţiuni administrative şi birouri în regim de înălţime S+P+8E” Bulevardul Industriei nr. 2, Timişoara</w:t>
      </w:r>
      <w:r w:rsidRPr="00B20FBA">
        <w:rPr>
          <w:lang w:val="ro-RO"/>
        </w:rPr>
        <w:t>, este elaborat de proiectantul</w:t>
      </w:r>
      <w:r w:rsidR="006542F0" w:rsidRPr="00B20FBA">
        <w:rPr>
          <w:lang w:val="ro-RO"/>
        </w:rPr>
        <w:t xml:space="preserve"> </w:t>
      </w:r>
      <w:r w:rsidR="00E81C09" w:rsidRPr="00B20FBA">
        <w:rPr>
          <w:bCs/>
          <w:lang w:val="ro-RO"/>
        </w:rPr>
        <w:t>S.C. 903 STUDIOARH S.R.L.D</w:t>
      </w:r>
      <w:r w:rsidRPr="00B20FBA">
        <w:rPr>
          <w:lang w:val="ro-RO"/>
        </w:rPr>
        <w:t xml:space="preserve">, proiect nr. </w:t>
      </w:r>
      <w:r w:rsidR="00E81C09" w:rsidRPr="00B20FBA">
        <w:rPr>
          <w:lang w:val="ro-RO"/>
        </w:rPr>
        <w:t>47/2017, la cererea beneficiarului</w:t>
      </w:r>
      <w:r w:rsidR="006542F0" w:rsidRPr="00B20FBA">
        <w:rPr>
          <w:lang w:val="ro-RO"/>
        </w:rPr>
        <w:t xml:space="preserve"> </w:t>
      </w:r>
      <w:r w:rsidR="00E81C09" w:rsidRPr="00B20FBA">
        <w:rPr>
          <w:bCs/>
          <w:lang w:val="ro-RO"/>
        </w:rPr>
        <w:t>S.C. BEGA TEHNOMET S.A</w:t>
      </w:r>
      <w:r w:rsidR="006542F0" w:rsidRPr="00B20FBA">
        <w:rPr>
          <w:lang w:val="ro-RO"/>
        </w:rPr>
        <w:t>.</w:t>
      </w:r>
    </w:p>
    <w:p w:rsidR="00D66254" w:rsidRPr="00B20FBA" w:rsidRDefault="00AC3F95" w:rsidP="00BE4791">
      <w:pPr>
        <w:pStyle w:val="Default"/>
        <w:ind w:firstLine="720"/>
        <w:jc w:val="both"/>
        <w:rPr>
          <w:rFonts w:ascii="Times New Roman" w:hAnsi="Times New Roman" w:cs="Times New Roman"/>
          <w:color w:val="auto"/>
          <w:lang w:val="ro-RO" w:eastAsia="ar-SA"/>
        </w:rPr>
      </w:pPr>
      <w:r w:rsidRPr="00B20FBA">
        <w:rPr>
          <w:rFonts w:ascii="Times New Roman" w:hAnsi="Times New Roman" w:cs="Times New Roman"/>
          <w:color w:val="auto"/>
          <w:lang w:val="ro-RO" w:eastAsia="ar-SA"/>
        </w:rPr>
        <w:t>Zona studiată în cadrul documentatiei PUZ</w:t>
      </w:r>
      <w:r w:rsidR="00765118" w:rsidRPr="00B20FBA">
        <w:rPr>
          <w:rFonts w:ascii="Times New Roman" w:hAnsi="Times New Roman" w:cs="Times New Roman"/>
          <w:color w:val="auto"/>
          <w:lang w:val="ro-RO" w:eastAsia="ar-SA"/>
        </w:rPr>
        <w:t xml:space="preserve"> </w:t>
      </w:r>
      <w:r w:rsidR="00E81C09" w:rsidRPr="00B20FBA">
        <w:rPr>
          <w:rFonts w:ascii="Times New Roman" w:hAnsi="Times New Roman" w:cs="Times New Roman"/>
          <w:bCs/>
          <w:color w:val="auto"/>
          <w:lang w:val="ro-RO"/>
        </w:rPr>
        <w:t>„</w:t>
      </w:r>
      <w:r w:rsidR="00E81C09" w:rsidRPr="00B20FBA">
        <w:rPr>
          <w:rFonts w:ascii="Times New Roman" w:hAnsi="Times New Roman" w:cs="Times New Roman"/>
          <w:color w:val="auto"/>
          <w:lang w:val="ro-RO"/>
        </w:rPr>
        <w:t>Dezvoltare zonă mixtă: comerţ, servicii, funcţiuni administrative şi birouri în regim de înălţime S+P+8E” Bulevardul Industriei nr. 2, Timişoara</w:t>
      </w:r>
      <w:r w:rsidR="00765118" w:rsidRPr="00B20FBA">
        <w:rPr>
          <w:rFonts w:ascii="Times New Roman" w:hAnsi="Times New Roman" w:cs="Times New Roman"/>
          <w:color w:val="auto"/>
          <w:lang w:val="ro-RO" w:eastAsia="ar-SA"/>
        </w:rPr>
        <w:t>,</w:t>
      </w:r>
      <w:r w:rsidRPr="00B20FBA">
        <w:rPr>
          <w:rFonts w:ascii="Times New Roman" w:hAnsi="Times New Roman" w:cs="Times New Roman"/>
          <w:color w:val="auto"/>
          <w:lang w:val="ro-RO" w:eastAsia="ar-SA"/>
        </w:rPr>
        <w:t xml:space="preserve"> este situată în partea de </w:t>
      </w:r>
      <w:r w:rsidR="00E81C09" w:rsidRPr="00B20FBA">
        <w:rPr>
          <w:rFonts w:ascii="Times New Roman" w:hAnsi="Times New Roman" w:cs="Times New Roman"/>
          <w:color w:val="auto"/>
          <w:lang w:val="ro-RO" w:bidi="th-TH"/>
        </w:rPr>
        <w:t>în partea de sud-est a municipiului Timişoara, pe fosta platformă industrială Calea Buziaşului</w:t>
      </w:r>
      <w:r w:rsidR="00E81C09" w:rsidRPr="00B20FBA">
        <w:rPr>
          <w:rFonts w:ascii="Times New Roman" w:hAnsi="Times New Roman" w:cs="Times New Roman"/>
          <w:color w:val="auto"/>
          <w:lang w:val="ro-RO" w:eastAsia="ar-SA"/>
        </w:rPr>
        <w:t>, amplasată în imediata vecinătate a Pieţei Gheorghe Domăşneanu (intersecţia străzilor Bulevardul Liviu Rebreanu, Venus, Calea Buziaşului, Calea Stan Vidrighin şi Bulevardul Industriei), pe Bulevardul Industriei.</w:t>
      </w:r>
    </w:p>
    <w:p w:rsidR="00AC3F95" w:rsidRPr="00B20FBA" w:rsidRDefault="00AC3F95" w:rsidP="000A24FE">
      <w:pPr>
        <w:pStyle w:val="Default"/>
        <w:ind w:firstLine="720"/>
        <w:jc w:val="both"/>
        <w:rPr>
          <w:rFonts w:ascii="Times New Roman" w:hAnsi="Times New Roman" w:cs="Times New Roman"/>
          <w:color w:val="auto"/>
          <w:lang w:val="ro-RO" w:eastAsia="ar-SA"/>
        </w:rPr>
      </w:pPr>
      <w:r w:rsidRPr="00B20FBA">
        <w:rPr>
          <w:rFonts w:ascii="Times New Roman" w:hAnsi="Times New Roman" w:cs="Times New Roman"/>
          <w:color w:val="auto"/>
          <w:lang w:val="ro-RO" w:eastAsia="ar-SA"/>
        </w:rPr>
        <w:t xml:space="preserve">Vecinătăţi: </w:t>
      </w:r>
      <w:r w:rsidR="000A24FE" w:rsidRPr="00B20FBA">
        <w:rPr>
          <w:rFonts w:ascii="Times New Roman" w:hAnsi="Times New Roman" w:cs="Times New Roman"/>
          <w:color w:val="auto"/>
          <w:lang w:val="ro-RO" w:eastAsia="ar-SA"/>
        </w:rPr>
        <w:t>terenul studiat este</w:t>
      </w:r>
      <w:r w:rsidR="00EF43C4" w:rsidRPr="00B20FBA">
        <w:rPr>
          <w:rFonts w:ascii="Times New Roman" w:hAnsi="Times New Roman" w:cs="Times New Roman"/>
          <w:color w:val="auto"/>
          <w:lang w:val="ro-RO"/>
        </w:rPr>
        <w:t xml:space="preserve"> situat </w:t>
      </w:r>
      <w:r w:rsidR="00EF43C4" w:rsidRPr="00B20FBA">
        <w:rPr>
          <w:rFonts w:ascii="Times New Roman" w:hAnsi="Times New Roman" w:cs="Times New Roman"/>
          <w:color w:val="auto"/>
          <w:lang w:val="ro-RO" w:eastAsia="ar-SA"/>
        </w:rPr>
        <w:t>între Bulevardul Industriilor, proprietăţi private SC EE Test SA, alte proprietăţi private.</w:t>
      </w:r>
    </w:p>
    <w:p w:rsidR="00AC3F95" w:rsidRPr="00B20FBA" w:rsidRDefault="00AC3F95" w:rsidP="00BE4791">
      <w:pPr>
        <w:ind w:firstLine="720"/>
        <w:jc w:val="both"/>
        <w:rPr>
          <w:lang w:val="ro-RO"/>
        </w:rPr>
      </w:pPr>
      <w:r w:rsidRPr="00B20FBA">
        <w:rPr>
          <w:lang w:val="ro-RO"/>
        </w:rPr>
        <w:t>Zona studiată, care face obiectul acestei documentaţii, nu se află în zonă protejată sau de protecţie a monumentelor istorice, respectiv zone de interes deosebit pentru care este necesar avizul Consiliului Judeţean Timiş.</w:t>
      </w:r>
    </w:p>
    <w:p w:rsidR="00AC3F95" w:rsidRPr="00B20FBA" w:rsidRDefault="00AC3F95" w:rsidP="00BE4791">
      <w:pPr>
        <w:autoSpaceDE w:val="0"/>
        <w:ind w:firstLine="720"/>
        <w:jc w:val="both"/>
        <w:rPr>
          <w:lang w:val="ro-RO"/>
        </w:rPr>
      </w:pPr>
      <w:r w:rsidRPr="00B20FBA">
        <w:rPr>
          <w:lang w:val="ro-RO"/>
        </w:rPr>
        <w:t xml:space="preserve">Prin prezentul Plan Urbanistic </w:t>
      </w:r>
      <w:r w:rsidRPr="00B20FBA">
        <w:rPr>
          <w:bCs/>
          <w:lang w:val="ro-RO"/>
        </w:rPr>
        <w:t>Zonal</w:t>
      </w:r>
      <w:r w:rsidRPr="00B20FBA">
        <w:rPr>
          <w:b/>
          <w:bCs/>
          <w:lang w:val="ro-RO"/>
        </w:rPr>
        <w:t xml:space="preserve"> </w:t>
      </w:r>
      <w:r w:rsidR="007830BF" w:rsidRPr="00B20FBA">
        <w:rPr>
          <w:bCs/>
          <w:lang w:val="ro-RO"/>
        </w:rPr>
        <w:t>„</w:t>
      </w:r>
      <w:r w:rsidR="007830BF" w:rsidRPr="00B20FBA">
        <w:rPr>
          <w:lang w:val="ro-RO"/>
        </w:rPr>
        <w:t>Dezvoltare zonă mixtă: comerţ, servicii, funcţiuni administrative şi birouri în regim de înălţime S+P+8E” Bulevardul Industriei nr. 2</w:t>
      </w:r>
      <w:r w:rsidRPr="00B20FBA">
        <w:rPr>
          <w:lang w:val="ro-RO"/>
        </w:rPr>
        <w:t>, nu se încalcă prevederile OUG nr. 114/2007 privind modificarea si completarea OUG nr. 195/2005, privind protecţia mediului.</w:t>
      </w:r>
    </w:p>
    <w:p w:rsidR="005F1D0B" w:rsidRPr="00B20FBA" w:rsidRDefault="000A24FE" w:rsidP="005F1D0B">
      <w:pPr>
        <w:spacing w:line="276" w:lineRule="auto"/>
        <w:contextualSpacing/>
        <w:jc w:val="both"/>
        <w:outlineLvl w:val="0"/>
        <w:rPr>
          <w:lang w:val="ro-RO" w:bidi="th-TH"/>
        </w:rPr>
      </w:pPr>
      <w:r w:rsidRPr="00B20FBA">
        <w:rPr>
          <w:lang w:val="ro-RO"/>
        </w:rPr>
        <w:t>Terenul reglementat, este</w:t>
      </w:r>
      <w:r w:rsidR="007830BF" w:rsidRPr="00B20FBA">
        <w:rPr>
          <w:lang w:val="ro-RO"/>
        </w:rPr>
        <w:t xml:space="preserve"> </w:t>
      </w:r>
      <w:r w:rsidR="005F1D0B" w:rsidRPr="00B20FBA">
        <w:rPr>
          <w:lang w:val="ro-RO" w:bidi="th-TH"/>
        </w:rPr>
        <w:t>situat în intravilanul municipiului Timişoara, extras CF nr. 436362, nr. cad./ topo 436362, Timisoara, Calea Buziasului nr. 11, în suprafaţă de 770 mp, extras CF nr. 436361, nr. cadastral 436361, Bulevardul Industriei nr. 2, în suprafaţă de 32.710 mp</w:t>
      </w:r>
      <w:r w:rsidR="005F1D0B" w:rsidRPr="00B20FBA">
        <w:rPr>
          <w:b/>
          <w:lang w:val="ro-RO" w:bidi="th-TH"/>
        </w:rPr>
        <w:t xml:space="preserve">, </w:t>
      </w:r>
      <w:r w:rsidR="005F1D0B" w:rsidRPr="00B20FBA">
        <w:rPr>
          <w:lang w:val="ro-RO" w:bidi="th-TH"/>
        </w:rPr>
        <w:t xml:space="preserve">în suprafaţă totală de 33.480 mp, proprietar </w:t>
      </w:r>
      <w:r w:rsidR="005F1D0B" w:rsidRPr="00B20FBA">
        <w:rPr>
          <w:bCs/>
          <w:lang w:val="ro-RO"/>
        </w:rPr>
        <w:t>S.C. BEGA TEHNOMET S.A</w:t>
      </w:r>
      <w:r w:rsidR="005F1D0B" w:rsidRPr="00B20FBA">
        <w:rPr>
          <w:lang w:val="ro-RO"/>
        </w:rPr>
        <w:t>.</w:t>
      </w:r>
    </w:p>
    <w:p w:rsidR="00BE4626" w:rsidRPr="00B20FBA" w:rsidRDefault="00BE4626" w:rsidP="005F1D0B">
      <w:pPr>
        <w:autoSpaceDE w:val="0"/>
        <w:jc w:val="both"/>
        <w:rPr>
          <w:lang w:val="ro-RO"/>
        </w:rPr>
      </w:pPr>
    </w:p>
    <w:p w:rsidR="000A24FE" w:rsidRPr="00B20FBA" w:rsidRDefault="000A24FE" w:rsidP="000A24FE">
      <w:pPr>
        <w:pStyle w:val="Default"/>
        <w:ind w:firstLine="720"/>
        <w:jc w:val="both"/>
        <w:rPr>
          <w:rFonts w:ascii="Times New Roman" w:hAnsi="Times New Roman" w:cs="Times New Roman"/>
          <w:b/>
          <w:bCs/>
          <w:color w:val="auto"/>
          <w:lang w:val="ro-RO"/>
        </w:rPr>
      </w:pPr>
      <w:r w:rsidRPr="00B20FBA">
        <w:rPr>
          <w:rFonts w:ascii="Times New Roman" w:hAnsi="Times New Roman" w:cs="Times New Roman"/>
          <w:b/>
          <w:bCs/>
          <w:color w:val="auto"/>
          <w:lang w:val="ro-RO"/>
        </w:rPr>
        <w:t>Planul Urbanistic Zonal</w:t>
      </w:r>
      <w:r w:rsidR="009A6C47" w:rsidRPr="00B20FBA">
        <w:rPr>
          <w:rFonts w:ascii="Times New Roman" w:hAnsi="Times New Roman" w:cs="Times New Roman"/>
          <w:b/>
          <w:bCs/>
          <w:color w:val="auto"/>
          <w:lang w:val="ro-RO"/>
        </w:rPr>
        <w:t xml:space="preserve"> „Dezvoltare zonă mixtă: comerţ, servicii, funcţiuni administrative şi birouri în regim de înălţime S+P+8E” Bulevardul Industriei nr. 2</w:t>
      </w:r>
      <w:r w:rsidRPr="00B20FBA">
        <w:rPr>
          <w:rFonts w:ascii="Times New Roman" w:hAnsi="Times New Roman" w:cs="Times New Roman"/>
          <w:b/>
          <w:bCs/>
          <w:color w:val="auto"/>
          <w:lang w:val="ro-RO"/>
        </w:rPr>
        <w:t xml:space="preserve">, </w:t>
      </w:r>
      <w:r w:rsidR="00575D8C" w:rsidRPr="00B20FBA">
        <w:rPr>
          <w:rFonts w:ascii="Times New Roman" w:hAnsi="Times New Roman" w:cs="Times New Roman"/>
          <w:b/>
          <w:bCs/>
          <w:color w:val="auto"/>
          <w:lang w:val="ro-RO"/>
        </w:rPr>
        <w:t xml:space="preserve">Timişoara </w:t>
      </w:r>
      <w:r w:rsidRPr="00B20FBA">
        <w:rPr>
          <w:rFonts w:ascii="Times New Roman" w:hAnsi="Times New Roman" w:cs="Times New Roman"/>
          <w:b/>
          <w:bCs/>
          <w:color w:val="auto"/>
          <w:lang w:val="ro-RO"/>
        </w:rPr>
        <w:t xml:space="preserve">propune </w:t>
      </w:r>
      <w:r w:rsidR="009A6C47" w:rsidRPr="00B20FBA">
        <w:rPr>
          <w:rFonts w:ascii="Times New Roman" w:hAnsi="Times New Roman" w:cs="Times New Roman"/>
          <w:b/>
          <w:bCs/>
          <w:color w:val="auto"/>
          <w:lang w:val="ro-RO"/>
        </w:rPr>
        <w:t>dezvoltarea unei zone mixte comerţ, servicii, funcţiuni administrative şi birouri, în regim de înălţime maxim S+P+8E</w:t>
      </w:r>
      <w:r w:rsidRPr="00B20FBA">
        <w:rPr>
          <w:rFonts w:ascii="Times New Roman" w:hAnsi="Times New Roman" w:cs="Times New Roman"/>
          <w:b/>
          <w:bCs/>
          <w:color w:val="auto"/>
          <w:lang w:val="ro-RO"/>
        </w:rPr>
        <w:t>.</w:t>
      </w:r>
    </w:p>
    <w:p w:rsidR="00AC3F95" w:rsidRPr="00B20FBA" w:rsidRDefault="00AC3F95" w:rsidP="007A0544">
      <w:pPr>
        <w:autoSpaceDE w:val="0"/>
        <w:jc w:val="both"/>
        <w:rPr>
          <w:bCs/>
          <w:color w:val="FF0000"/>
          <w:lang w:val="ro-RO"/>
        </w:rPr>
      </w:pPr>
    </w:p>
    <w:p w:rsidR="00191E4B" w:rsidRPr="00B20FBA" w:rsidRDefault="00AC3F95" w:rsidP="00BE4791">
      <w:pPr>
        <w:tabs>
          <w:tab w:val="left" w:pos="6825"/>
        </w:tabs>
        <w:ind w:firstLine="720"/>
        <w:jc w:val="both"/>
        <w:rPr>
          <w:lang w:val="ro-RO"/>
        </w:rPr>
      </w:pPr>
      <w:r w:rsidRPr="00B20FBA">
        <w:rPr>
          <w:lang w:val="ro-RO"/>
        </w:rPr>
        <w:t xml:space="preserve">Accesul auto şi pietonal la parcela studiată se face din </w:t>
      </w:r>
      <w:r w:rsidR="007A0544" w:rsidRPr="00B20FBA">
        <w:rPr>
          <w:lang w:val="ro-RO"/>
        </w:rPr>
        <w:t>Bulevardul Industriei.</w:t>
      </w:r>
    </w:p>
    <w:p w:rsidR="00A26059" w:rsidRPr="00B20FBA" w:rsidRDefault="00A26059" w:rsidP="007A0544">
      <w:pPr>
        <w:jc w:val="both"/>
        <w:rPr>
          <w:color w:val="FF0000"/>
          <w:lang w:val="ro-RO"/>
        </w:rPr>
      </w:pPr>
    </w:p>
    <w:p w:rsidR="00AC3F95" w:rsidRPr="00B20FBA" w:rsidRDefault="00AC3F95" w:rsidP="00BE4791">
      <w:pPr>
        <w:ind w:firstLine="720"/>
        <w:jc w:val="both"/>
        <w:rPr>
          <w:b/>
          <w:lang w:val="ro-RO"/>
        </w:rPr>
      </w:pPr>
      <w:r w:rsidRPr="00B20FBA">
        <w:rPr>
          <w:lang w:val="ro-RO"/>
        </w:rPr>
        <w:t xml:space="preserve">Obţinerea Autorizaţiei de Construire este condiţionată de realizarea locurilor de parcare necesare funcţiunii propuse </w:t>
      </w:r>
      <w:r w:rsidRPr="00B20FBA">
        <w:rPr>
          <w:b/>
          <w:lang w:val="ro-RO"/>
        </w:rPr>
        <w:t>exclusiv</w:t>
      </w:r>
      <w:r w:rsidRPr="00B20FBA">
        <w:rPr>
          <w:lang w:val="ro-RO"/>
        </w:rPr>
        <w:t xml:space="preserve"> pe parcelele deţinute de beneficiari, în conformitate cu Anexa 2 din R.L.U. aferenta P.U.G., aprobat prin HCL nr. 157/05.08.2002 si prelungit prin HCL  nr. </w:t>
      </w:r>
      <w:r w:rsidR="00191E4B" w:rsidRPr="00B20FBA">
        <w:rPr>
          <w:lang w:val="ro-RO"/>
        </w:rPr>
        <w:t>1</w:t>
      </w:r>
      <w:r w:rsidRPr="00B20FBA">
        <w:rPr>
          <w:lang w:val="ro-RO"/>
        </w:rPr>
        <w:t xml:space="preserve">31/2017 şi în conformitate cu Avizul Comisiei de Circulaţie nr. </w:t>
      </w:r>
      <w:r w:rsidR="00986B93" w:rsidRPr="00B20FBA">
        <w:rPr>
          <w:lang w:val="ro-RO" w:bidi="th-TH"/>
        </w:rPr>
        <w:t>DT2017-00</w:t>
      </w:r>
      <w:r w:rsidR="007A0544" w:rsidRPr="00B20FBA">
        <w:rPr>
          <w:lang w:val="ro-RO" w:bidi="th-TH"/>
        </w:rPr>
        <w:t>2567</w:t>
      </w:r>
      <w:r w:rsidR="00B82EBE" w:rsidRPr="00B20FBA">
        <w:rPr>
          <w:lang w:val="ro-RO" w:bidi="th-TH"/>
        </w:rPr>
        <w:t>/03.08.</w:t>
      </w:r>
      <w:r w:rsidR="00986B93" w:rsidRPr="00B20FBA">
        <w:rPr>
          <w:lang w:val="ro-RO" w:bidi="th-TH"/>
        </w:rPr>
        <w:t>2017</w:t>
      </w:r>
      <w:r w:rsidRPr="00B20FBA">
        <w:rPr>
          <w:lang w:val="ro-RO"/>
        </w:rPr>
        <w:t>.</w:t>
      </w:r>
    </w:p>
    <w:p w:rsidR="00B0592D" w:rsidRDefault="00B0592D" w:rsidP="00BE4791">
      <w:pPr>
        <w:ind w:firstLine="720"/>
        <w:jc w:val="both"/>
        <w:rPr>
          <w:b/>
          <w:color w:val="FF0000"/>
          <w:lang w:val="ro-RO"/>
        </w:rPr>
      </w:pPr>
    </w:p>
    <w:p w:rsidR="00B20FBA" w:rsidRDefault="00B20FBA" w:rsidP="00BE4791">
      <w:pPr>
        <w:ind w:firstLine="720"/>
        <w:jc w:val="both"/>
        <w:rPr>
          <w:b/>
          <w:color w:val="FF0000"/>
          <w:lang w:val="ro-RO"/>
        </w:rPr>
      </w:pPr>
    </w:p>
    <w:p w:rsidR="00B20FBA" w:rsidRDefault="00B20FBA" w:rsidP="00BE4791">
      <w:pPr>
        <w:ind w:firstLine="720"/>
        <w:jc w:val="both"/>
        <w:rPr>
          <w:b/>
          <w:color w:val="FF0000"/>
          <w:lang w:val="ro-RO"/>
        </w:rPr>
      </w:pPr>
    </w:p>
    <w:p w:rsidR="00B20FBA" w:rsidRDefault="00B20FBA" w:rsidP="00BE4791">
      <w:pPr>
        <w:ind w:firstLine="720"/>
        <w:jc w:val="both"/>
        <w:rPr>
          <w:b/>
          <w:color w:val="FF0000"/>
          <w:lang w:val="ro-RO"/>
        </w:rPr>
      </w:pPr>
    </w:p>
    <w:p w:rsidR="00B20FBA" w:rsidRPr="00B20FBA" w:rsidRDefault="00B20FBA" w:rsidP="00BE4791">
      <w:pPr>
        <w:ind w:firstLine="720"/>
        <w:jc w:val="both"/>
        <w:rPr>
          <w:b/>
          <w:color w:val="FF0000"/>
          <w:lang w:val="ro-RO"/>
        </w:rPr>
      </w:pPr>
    </w:p>
    <w:p w:rsidR="00AC3F95" w:rsidRPr="00B20FBA" w:rsidRDefault="00AC3F95" w:rsidP="00BE4791">
      <w:pPr>
        <w:ind w:firstLine="720"/>
        <w:jc w:val="both"/>
        <w:rPr>
          <w:b/>
          <w:lang w:val="ro-RO"/>
        </w:rPr>
      </w:pPr>
      <w:r w:rsidRPr="00B20FBA">
        <w:rPr>
          <w:b/>
          <w:lang w:val="ro-RO"/>
        </w:rPr>
        <w:t>Indicii propuşi prin documentaţie</w:t>
      </w:r>
      <w:r w:rsidR="00B33B21" w:rsidRPr="00B20FBA">
        <w:rPr>
          <w:b/>
          <w:lang w:val="ro-RO"/>
        </w:rPr>
        <w:t xml:space="preserve"> şi conform Avizului Arhitectului Şef</w:t>
      </w:r>
      <w:r w:rsidRPr="00B20FBA">
        <w:rPr>
          <w:b/>
          <w:lang w:val="ro-RO"/>
        </w:rPr>
        <w:t xml:space="preserve"> sunt următorii:</w:t>
      </w:r>
    </w:p>
    <w:p w:rsidR="00B33B21" w:rsidRDefault="00B33B21" w:rsidP="00B33B21">
      <w:pPr>
        <w:widowControl w:val="0"/>
        <w:spacing w:line="276" w:lineRule="auto"/>
        <w:ind w:firstLine="720"/>
        <w:contextualSpacing/>
        <w:jc w:val="both"/>
        <w:outlineLvl w:val="0"/>
        <w:rPr>
          <w:lang w:val="ro-RO" w:bidi="th-TH"/>
        </w:rPr>
      </w:pPr>
      <w:r w:rsidRPr="00B20FBA">
        <w:rPr>
          <w:lang w:val="ro-RO" w:bidi="th-TH"/>
        </w:rPr>
        <w:t xml:space="preserve">-Funcţiuni predominante: </w:t>
      </w:r>
      <w:r w:rsidR="004B1529" w:rsidRPr="00B20FBA">
        <w:rPr>
          <w:b/>
          <w:lang w:val="ro-RO" w:bidi="th-TH"/>
        </w:rPr>
        <w:t>zonă mixtă: comerţ, servicii, funcţiuni administrative şi birouri în regim de înălţimje S+P+8E</w:t>
      </w:r>
      <w:r w:rsidRPr="00B20FBA">
        <w:rPr>
          <w:lang w:val="ro-RO" w:bidi="th-TH"/>
        </w:rPr>
        <w:t>;</w:t>
      </w:r>
    </w:p>
    <w:p w:rsidR="00B20FBA" w:rsidRPr="00B20FBA" w:rsidRDefault="00B20FBA" w:rsidP="00B33B21">
      <w:pPr>
        <w:widowControl w:val="0"/>
        <w:spacing w:line="276" w:lineRule="auto"/>
        <w:ind w:firstLine="720"/>
        <w:contextualSpacing/>
        <w:jc w:val="both"/>
        <w:outlineLvl w:val="0"/>
        <w:rPr>
          <w:lang w:val="ro-RO" w:bidi="th-TH"/>
        </w:rPr>
      </w:pPr>
    </w:p>
    <w:p w:rsidR="004B1529" w:rsidRPr="00B20FBA" w:rsidRDefault="004B1529" w:rsidP="00B20FBA">
      <w:pPr>
        <w:autoSpaceDE w:val="0"/>
        <w:ind w:firstLine="720"/>
        <w:jc w:val="both"/>
        <w:rPr>
          <w:bCs/>
          <w:lang w:val="ro-RO"/>
        </w:rPr>
      </w:pPr>
      <w:r w:rsidRPr="00B20FBA">
        <w:rPr>
          <w:bCs/>
          <w:lang w:val="ro-RO"/>
        </w:rPr>
        <w:t>- Regim de construire: maxim S+P+8E;</w:t>
      </w:r>
    </w:p>
    <w:p w:rsidR="004B1529" w:rsidRPr="00B20FBA" w:rsidRDefault="004B1529" w:rsidP="004B1529">
      <w:pPr>
        <w:autoSpaceDE w:val="0"/>
        <w:ind w:firstLine="720"/>
        <w:jc w:val="both"/>
        <w:rPr>
          <w:bCs/>
          <w:lang w:val="ro-RO"/>
        </w:rPr>
      </w:pPr>
      <w:r w:rsidRPr="00B20FBA">
        <w:rPr>
          <w:bCs/>
          <w:lang w:val="ro-RO"/>
        </w:rPr>
        <w:t>- Procent de ocupare al terenului maxim: POTmax= 60%;</w:t>
      </w:r>
    </w:p>
    <w:p w:rsidR="004B1529" w:rsidRPr="00B20FBA" w:rsidRDefault="004B1529" w:rsidP="004B1529">
      <w:pPr>
        <w:autoSpaceDE w:val="0"/>
        <w:ind w:firstLine="720"/>
        <w:jc w:val="both"/>
        <w:rPr>
          <w:bCs/>
          <w:lang w:val="ro-RO"/>
        </w:rPr>
      </w:pPr>
      <w:r w:rsidRPr="00B20FBA">
        <w:rPr>
          <w:bCs/>
          <w:lang w:val="ro-RO"/>
        </w:rPr>
        <w:t>- Coeficient de utilizare al terenului maxim: CUTmax= 2,8;</w:t>
      </w:r>
    </w:p>
    <w:p w:rsidR="004B1529" w:rsidRPr="00B20FBA" w:rsidRDefault="004B1529" w:rsidP="004B1529">
      <w:pPr>
        <w:autoSpaceDE w:val="0"/>
        <w:ind w:firstLine="720"/>
        <w:jc w:val="both"/>
        <w:rPr>
          <w:bCs/>
          <w:lang w:val="ro-RO"/>
        </w:rPr>
      </w:pPr>
      <w:r w:rsidRPr="00B20FBA">
        <w:rPr>
          <w:bCs/>
          <w:lang w:val="ro-RO"/>
        </w:rPr>
        <w:t>Hmax = 32,00 m</w:t>
      </w:r>
    </w:p>
    <w:p w:rsidR="004B1529" w:rsidRPr="00B20FBA" w:rsidRDefault="004B1529" w:rsidP="004B1529">
      <w:pPr>
        <w:autoSpaceDE w:val="0"/>
        <w:ind w:firstLine="720"/>
        <w:jc w:val="both"/>
        <w:rPr>
          <w:bCs/>
          <w:lang w:val="ro-RO"/>
        </w:rPr>
      </w:pPr>
      <w:r w:rsidRPr="00B20FBA">
        <w:rPr>
          <w:bCs/>
          <w:lang w:val="ro-RO"/>
        </w:rPr>
        <w:t>- zona de implantare se va retrage faţă de limită;</w:t>
      </w:r>
    </w:p>
    <w:p w:rsidR="004B1529" w:rsidRPr="00B20FBA" w:rsidRDefault="004B1529" w:rsidP="004B1529">
      <w:pPr>
        <w:autoSpaceDE w:val="0"/>
        <w:ind w:firstLine="720"/>
        <w:jc w:val="both"/>
        <w:rPr>
          <w:bCs/>
          <w:lang w:val="ro-RO"/>
        </w:rPr>
      </w:pPr>
      <w:r w:rsidRPr="00B20FBA">
        <w:rPr>
          <w:bCs/>
          <w:lang w:val="ro-RO"/>
        </w:rPr>
        <w:t>- se vor marca subzonele altimetrice de implantare;</w:t>
      </w:r>
    </w:p>
    <w:p w:rsidR="00B33B21" w:rsidRPr="00B20FBA" w:rsidRDefault="004B1529" w:rsidP="004B1529">
      <w:pPr>
        <w:autoSpaceDE w:val="0"/>
        <w:ind w:firstLine="720"/>
        <w:jc w:val="both"/>
        <w:rPr>
          <w:bCs/>
          <w:lang w:val="ro-RO"/>
        </w:rPr>
      </w:pPr>
      <w:r w:rsidRPr="00B20FBA">
        <w:rPr>
          <w:bCs/>
          <w:lang w:val="ro-RO"/>
        </w:rPr>
        <w:t>Spatii verzi amenajate minim 20,00 % - conform Deciziei de incadrare nr. 87/27.11.2017 a Agenţiei pentru Protecţia Mediului Timiş</w:t>
      </w:r>
      <w:r w:rsidRPr="00B20FBA">
        <w:rPr>
          <w:b/>
          <w:lang w:val="ro-RO" w:bidi="th-TH"/>
        </w:rPr>
        <w:t xml:space="preserve"> - suprafaţa de spaţii verzi va fi amenajată şi întreţinută</w:t>
      </w:r>
      <w:r w:rsidRPr="00B20FBA">
        <w:rPr>
          <w:bCs/>
          <w:lang w:val="ro-RO"/>
        </w:rPr>
        <w:t>;</w:t>
      </w:r>
    </w:p>
    <w:p w:rsidR="00B33B21" w:rsidRPr="00B20FBA" w:rsidRDefault="00B33B21" w:rsidP="00BE4791">
      <w:pPr>
        <w:autoSpaceDE w:val="0"/>
        <w:ind w:firstLine="720"/>
        <w:jc w:val="both"/>
        <w:rPr>
          <w:bCs/>
          <w:color w:val="FF0000"/>
          <w:lang w:val="ro-RO"/>
        </w:rPr>
      </w:pPr>
    </w:p>
    <w:p w:rsidR="00AC3F95" w:rsidRPr="00B20FBA" w:rsidRDefault="00AC3F95" w:rsidP="00BE4791">
      <w:pPr>
        <w:jc w:val="both"/>
        <w:rPr>
          <w:lang w:val="ro-RO" w:eastAsia="th-TH" w:bidi="th-TH"/>
        </w:rPr>
      </w:pPr>
      <w:r w:rsidRPr="00B20FBA">
        <w:rPr>
          <w:color w:val="FF0000"/>
          <w:lang w:val="ro-RO" w:eastAsia="th-TH" w:bidi="th-TH"/>
        </w:rPr>
        <w:tab/>
      </w:r>
      <w:r w:rsidRPr="00B20FBA">
        <w:rPr>
          <w:lang w:val="ro-RO" w:eastAsia="th-TH"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C3F95" w:rsidRPr="00B20FBA" w:rsidRDefault="00AC3F95" w:rsidP="00BE4791">
      <w:pPr>
        <w:ind w:firstLine="720"/>
        <w:jc w:val="both"/>
        <w:rPr>
          <w:lang w:val="ro-RO"/>
        </w:rPr>
      </w:pPr>
      <w:r w:rsidRPr="00B20FBA">
        <w:rPr>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AC3F95" w:rsidRDefault="00AC3F95" w:rsidP="00BE4791">
      <w:pPr>
        <w:ind w:firstLine="720"/>
        <w:jc w:val="both"/>
        <w:rPr>
          <w:lang w:val="ro-RO"/>
        </w:rPr>
      </w:pPr>
      <w:r w:rsidRPr="00B20FBA">
        <w:rPr>
          <w:lang w:val="ro-RO"/>
        </w:rPr>
        <w:t>Documentaţia de urbanism este însoţită de avizele şi acordurile conform Ghidului privind metodologia de elaborare şi conţinutul cadru al P.U.Z. aprobat prin Ordinul nr. 176/N/2000 al M.L.P.A.T. ( M.T.C.T.).</w:t>
      </w:r>
    </w:p>
    <w:p w:rsidR="00B20FBA" w:rsidRPr="00B20FBA" w:rsidRDefault="00B20FBA" w:rsidP="00BE4791">
      <w:pPr>
        <w:ind w:firstLine="720"/>
        <w:jc w:val="both"/>
        <w:rPr>
          <w:lang w:val="ro-RO"/>
        </w:rPr>
      </w:pPr>
    </w:p>
    <w:p w:rsidR="00AC3F95" w:rsidRDefault="00AC3F95" w:rsidP="00BE4791">
      <w:pPr>
        <w:ind w:firstLine="720"/>
        <w:jc w:val="both"/>
        <w:rPr>
          <w:b/>
          <w:lang w:val="ro-RO"/>
        </w:rPr>
      </w:pPr>
      <w:r w:rsidRPr="00B20FBA">
        <w:rPr>
          <w:lang w:val="ro-RO"/>
        </w:rPr>
        <w:t xml:space="preserve">Autorizaţia de Construire se va putea elibera </w:t>
      </w:r>
      <w:r w:rsidRPr="00B20FBA">
        <w:rPr>
          <w:b/>
          <w:lang w:val="ro-RO"/>
        </w:rPr>
        <w:t>doar dupa ce terenurile afectate de drumuri, vor deveni publice şi asigurarea tuturor utilităţilor necesare investiţiei în conformitate cu Planul de acţiune asumat</w:t>
      </w:r>
      <w:r w:rsidR="004B1529" w:rsidRPr="00B20FBA">
        <w:rPr>
          <w:b/>
          <w:lang w:val="ro-RO"/>
        </w:rPr>
        <w:t>.</w:t>
      </w:r>
    </w:p>
    <w:p w:rsidR="00B20FBA" w:rsidRPr="00B20FBA" w:rsidRDefault="00B20FBA" w:rsidP="00BE4791">
      <w:pPr>
        <w:ind w:firstLine="720"/>
        <w:jc w:val="both"/>
        <w:rPr>
          <w:lang w:val="ro-RO"/>
        </w:rPr>
      </w:pPr>
    </w:p>
    <w:p w:rsidR="00AC3F95" w:rsidRDefault="00AC3F95" w:rsidP="00BE4791">
      <w:pPr>
        <w:ind w:firstLine="720"/>
        <w:jc w:val="both"/>
        <w:rPr>
          <w:lang w:val="ro-RO"/>
        </w:rPr>
      </w:pPr>
      <w:r w:rsidRPr="00B20FBA">
        <w:rPr>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B20FBA" w:rsidRPr="00B20FBA" w:rsidRDefault="00B20FBA" w:rsidP="00BE4791">
      <w:pPr>
        <w:ind w:firstLine="720"/>
        <w:jc w:val="both"/>
        <w:rPr>
          <w:lang w:val="ro-RO"/>
        </w:rPr>
      </w:pPr>
    </w:p>
    <w:p w:rsidR="00AC3F95" w:rsidRDefault="00AC3F95" w:rsidP="00BE4791">
      <w:pPr>
        <w:autoSpaceDE w:val="0"/>
        <w:autoSpaceDN w:val="0"/>
        <w:adjustRightInd w:val="0"/>
        <w:ind w:firstLine="720"/>
        <w:jc w:val="both"/>
        <w:rPr>
          <w:lang w:val="ro-RO"/>
        </w:rPr>
      </w:pPr>
      <w:r w:rsidRPr="00B20FBA">
        <w:rPr>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B20FBA" w:rsidRPr="00B20FBA" w:rsidRDefault="00B20FBA" w:rsidP="00BE4791">
      <w:pPr>
        <w:autoSpaceDE w:val="0"/>
        <w:autoSpaceDN w:val="0"/>
        <w:adjustRightInd w:val="0"/>
        <w:ind w:firstLine="720"/>
        <w:jc w:val="both"/>
        <w:rPr>
          <w:lang w:val="ro-RO"/>
        </w:rPr>
      </w:pPr>
    </w:p>
    <w:p w:rsidR="00B20FBA" w:rsidRDefault="00375668" w:rsidP="00BE4791">
      <w:pPr>
        <w:ind w:right="43" w:firstLine="720"/>
        <w:jc w:val="both"/>
        <w:rPr>
          <w:lang w:val="ro-RO"/>
        </w:rPr>
      </w:pPr>
      <w:r w:rsidRPr="00B20FBA">
        <w:rPr>
          <w:lang w:val="ro-RO"/>
        </w:rPr>
        <w:t xml:space="preserve">Plan Urbanistic </w:t>
      </w:r>
      <w:r w:rsidRPr="00B20FBA">
        <w:rPr>
          <w:bCs/>
          <w:lang w:val="ro-RO"/>
        </w:rPr>
        <w:t>Zonal</w:t>
      </w:r>
      <w:r w:rsidRPr="00B20FBA">
        <w:rPr>
          <w:b/>
          <w:bCs/>
          <w:lang w:val="ro-RO"/>
        </w:rPr>
        <w:t xml:space="preserve"> </w:t>
      </w:r>
      <w:r w:rsidR="004B1529" w:rsidRPr="00B20FBA">
        <w:rPr>
          <w:bCs/>
          <w:lang w:val="ro-RO"/>
        </w:rPr>
        <w:t>„</w:t>
      </w:r>
      <w:r w:rsidR="004B1529" w:rsidRPr="00B20FBA">
        <w:rPr>
          <w:lang w:val="ro-RO"/>
        </w:rPr>
        <w:t xml:space="preserve">Dezvoltare zonă mixtă: comerţ, servicii, funcţiuni administrative </w:t>
      </w:r>
    </w:p>
    <w:p w:rsidR="00AC3F95" w:rsidRDefault="004B1529" w:rsidP="00B20FBA">
      <w:pPr>
        <w:ind w:right="43"/>
        <w:jc w:val="both"/>
        <w:rPr>
          <w:lang w:val="ro-RO"/>
        </w:rPr>
      </w:pPr>
      <w:r w:rsidRPr="00B20FBA">
        <w:rPr>
          <w:lang w:val="ro-RO"/>
        </w:rPr>
        <w:t>şi birouri în regim de înălţime S+P+8E” Bulevardul Industriei nr. 2</w:t>
      </w:r>
      <w:r w:rsidR="00375668" w:rsidRPr="00B20FBA">
        <w:rPr>
          <w:lang w:val="ro-RO"/>
        </w:rPr>
        <w:t>,</w:t>
      </w:r>
      <w:r w:rsidR="00AC3F95" w:rsidRPr="00B20FBA">
        <w:rPr>
          <w:lang w:val="ro-RO"/>
        </w:rPr>
        <w:t xml:space="preserve"> se va integra în Planul Urbanistic General al Municipiului Timişoara şi va avea valabilitate de 3 ani, perioadă în care pot fi demarate investiţiile prevăzute în documentaţie.</w:t>
      </w:r>
    </w:p>
    <w:p w:rsidR="00B20FBA" w:rsidRPr="00B20FBA" w:rsidRDefault="00B20FBA" w:rsidP="00BE4791">
      <w:pPr>
        <w:ind w:right="43" w:firstLine="720"/>
        <w:jc w:val="both"/>
        <w:rPr>
          <w:lang w:val="ro-RO"/>
        </w:rPr>
      </w:pPr>
    </w:p>
    <w:p w:rsidR="00B461A6" w:rsidRDefault="00B461A6" w:rsidP="00BE4791">
      <w:pPr>
        <w:ind w:right="43" w:firstLine="720"/>
        <w:jc w:val="both"/>
        <w:rPr>
          <w:b/>
          <w:color w:val="FF0000"/>
          <w:lang w:val="ro-RO"/>
        </w:rPr>
      </w:pPr>
    </w:p>
    <w:p w:rsidR="00B20FBA" w:rsidRDefault="00B20FBA" w:rsidP="00BE4791">
      <w:pPr>
        <w:ind w:right="43" w:firstLine="720"/>
        <w:jc w:val="both"/>
        <w:rPr>
          <w:b/>
          <w:color w:val="FF0000"/>
          <w:lang w:val="ro-RO"/>
        </w:rPr>
      </w:pPr>
    </w:p>
    <w:p w:rsidR="00B20FBA" w:rsidRPr="00B20FBA" w:rsidRDefault="00B20FBA" w:rsidP="00BE4791">
      <w:pPr>
        <w:ind w:right="43" w:firstLine="720"/>
        <w:jc w:val="both"/>
        <w:rPr>
          <w:b/>
          <w:color w:val="FF0000"/>
          <w:lang w:val="ro-RO"/>
        </w:rPr>
      </w:pPr>
    </w:p>
    <w:p w:rsidR="00AC3F95" w:rsidRPr="00B20FBA" w:rsidRDefault="00AC3F95" w:rsidP="00BE4791">
      <w:pPr>
        <w:jc w:val="center"/>
        <w:rPr>
          <w:b/>
          <w:lang w:val="ro-RO"/>
        </w:rPr>
      </w:pPr>
      <w:r w:rsidRPr="00B20FBA">
        <w:rPr>
          <w:b/>
          <w:sz w:val="28"/>
          <w:szCs w:val="28"/>
          <w:lang w:val="ro-RO"/>
        </w:rPr>
        <w:t>PROPUNEM</w:t>
      </w:r>
      <w:r w:rsidRPr="00B20FBA">
        <w:rPr>
          <w:b/>
          <w:lang w:val="ro-RO"/>
        </w:rPr>
        <w:t>:</w:t>
      </w:r>
    </w:p>
    <w:p w:rsidR="00AC3F95" w:rsidRDefault="00AC3F95" w:rsidP="00BE4791">
      <w:pPr>
        <w:jc w:val="center"/>
        <w:rPr>
          <w:b/>
          <w:color w:val="FF0000"/>
          <w:lang w:val="ro-RO"/>
        </w:rPr>
      </w:pPr>
    </w:p>
    <w:p w:rsidR="00B20FBA" w:rsidRPr="00B20FBA" w:rsidRDefault="00B20FBA" w:rsidP="00BE4791">
      <w:pPr>
        <w:jc w:val="center"/>
        <w:rPr>
          <w:b/>
          <w:color w:val="FF0000"/>
          <w:lang w:val="ro-RO"/>
        </w:rPr>
      </w:pPr>
    </w:p>
    <w:p w:rsidR="00AC3F95" w:rsidRPr="00B20FBA" w:rsidRDefault="00AC3F95" w:rsidP="00BE4791">
      <w:pPr>
        <w:autoSpaceDE w:val="0"/>
        <w:ind w:firstLine="720"/>
        <w:jc w:val="both"/>
        <w:rPr>
          <w:b/>
          <w:lang w:val="ro-RO"/>
        </w:rPr>
      </w:pPr>
      <w:r w:rsidRPr="00B20FBA">
        <w:rPr>
          <w:b/>
          <w:lang w:val="ro-RO"/>
        </w:rPr>
        <w:t>1.</w:t>
      </w:r>
      <w:r w:rsidRPr="00B20FBA">
        <w:rPr>
          <w:lang w:val="ro-RO"/>
        </w:rPr>
        <w:t xml:space="preserve"> </w:t>
      </w:r>
      <w:r w:rsidRPr="00B20FBA">
        <w:rPr>
          <w:b/>
          <w:lang w:val="ro-RO"/>
        </w:rPr>
        <w:t xml:space="preserve">Avizarea si aprobarea Planului Urbanistic Zonal </w:t>
      </w:r>
      <w:r w:rsidR="004B1529" w:rsidRPr="00B20FBA">
        <w:rPr>
          <w:b/>
          <w:lang w:val="ro-RO"/>
        </w:rPr>
        <w:t xml:space="preserve">„Dezvoltare zonă mixtă: comerţ, servicii, funcţiuni administrative şi birouri în regim de înălţime S+P+8E” Bulevardul Industriei nr. 2, Timişoara, beneficiar S.C. BEGA TEHNOMET S.A, </w:t>
      </w:r>
      <w:r w:rsidRPr="00B20FBA">
        <w:rPr>
          <w:b/>
          <w:lang w:val="ro-RO"/>
        </w:rPr>
        <w:t>înt</w:t>
      </w:r>
      <w:r w:rsidR="00375668" w:rsidRPr="00B20FBA">
        <w:rPr>
          <w:b/>
          <w:lang w:val="ro-RO"/>
        </w:rPr>
        <w:t xml:space="preserve">ocmit conform proiectului nr. </w:t>
      </w:r>
      <w:r w:rsidR="004B1529" w:rsidRPr="00B20FBA">
        <w:rPr>
          <w:b/>
          <w:lang w:val="ro-RO"/>
        </w:rPr>
        <w:t>47/2017</w:t>
      </w:r>
      <w:r w:rsidRPr="00B20FBA">
        <w:rPr>
          <w:b/>
          <w:lang w:val="ro-RO"/>
        </w:rPr>
        <w:t xml:space="preserve">, realizat </w:t>
      </w:r>
      <w:r w:rsidR="004B1529" w:rsidRPr="00B20FBA">
        <w:rPr>
          <w:b/>
          <w:lang w:val="ro-RO"/>
        </w:rPr>
        <w:t xml:space="preserve">proiectant SC 903 STUDIOARH SRLD, </w:t>
      </w:r>
      <w:r w:rsidRPr="00B20FBA">
        <w:rPr>
          <w:b/>
          <w:lang w:val="ro-RO"/>
        </w:rPr>
        <w:t>care face parte integrantă din prezenta hotărâre;</w:t>
      </w:r>
    </w:p>
    <w:p w:rsidR="009C13D5" w:rsidRPr="00B20FBA" w:rsidRDefault="009C13D5" w:rsidP="00BE4791">
      <w:pPr>
        <w:ind w:firstLine="720"/>
        <w:jc w:val="both"/>
        <w:rPr>
          <w:b/>
          <w:color w:val="FF0000"/>
          <w:lang w:val="ro-RO"/>
        </w:rPr>
      </w:pPr>
    </w:p>
    <w:p w:rsidR="00AC3F95" w:rsidRPr="00B20FBA" w:rsidRDefault="00AC3F95" w:rsidP="00BE4791">
      <w:pPr>
        <w:ind w:firstLine="720"/>
        <w:jc w:val="both"/>
        <w:rPr>
          <w:b/>
          <w:lang w:val="ro-RO"/>
        </w:rPr>
      </w:pPr>
      <w:r w:rsidRPr="00B20FBA">
        <w:rPr>
          <w:b/>
          <w:lang w:val="ro-RO"/>
        </w:rPr>
        <w:t>2.</w:t>
      </w:r>
      <w:r w:rsidRPr="00B20FBA">
        <w:rPr>
          <w:lang w:val="ro-RO"/>
        </w:rPr>
        <w:t xml:space="preserve"> </w:t>
      </w:r>
      <w:r w:rsidRPr="00B20FBA">
        <w:rPr>
          <w:b/>
          <w:lang w:val="ro-RO"/>
        </w:rPr>
        <w:t xml:space="preserve">Se stabilesc condiţiile de construire: </w:t>
      </w:r>
    </w:p>
    <w:p w:rsidR="009B4A30" w:rsidRDefault="00AC3F95" w:rsidP="004B1529">
      <w:pPr>
        <w:spacing w:line="276" w:lineRule="auto"/>
        <w:ind w:firstLine="720"/>
        <w:contextualSpacing/>
        <w:jc w:val="both"/>
        <w:outlineLvl w:val="0"/>
        <w:rPr>
          <w:lang w:val="ro-RO" w:bidi="th-TH"/>
        </w:rPr>
      </w:pPr>
      <w:r w:rsidRPr="00B20FBA">
        <w:rPr>
          <w:lang w:val="ro-RO" w:eastAsia="ro-RO"/>
        </w:rPr>
        <w:t xml:space="preserve">- </w:t>
      </w:r>
      <w:r w:rsidR="00375668" w:rsidRPr="00B20FBA">
        <w:rPr>
          <w:lang w:val="ro-RO" w:eastAsia="ro-RO"/>
        </w:rPr>
        <w:t xml:space="preserve">Regimul de înălţime de maxim </w:t>
      </w:r>
      <w:r w:rsidR="00375668" w:rsidRPr="00B20FBA">
        <w:rPr>
          <w:lang w:val="ro-RO" w:bidi="th-TH"/>
        </w:rPr>
        <w:t xml:space="preserve">= </w:t>
      </w:r>
      <w:r w:rsidR="004B1529" w:rsidRPr="00B20FBA">
        <w:rPr>
          <w:b/>
          <w:lang w:val="ro-RO" w:bidi="th-TH"/>
        </w:rPr>
        <w:t>S+P+8E</w:t>
      </w:r>
      <w:r w:rsidR="009B4A30" w:rsidRPr="00B20FBA">
        <w:rPr>
          <w:lang w:val="ro-RO" w:bidi="th-TH"/>
        </w:rPr>
        <w:t>,</w:t>
      </w:r>
      <w:r w:rsidR="00375668" w:rsidRPr="00B20FBA">
        <w:rPr>
          <w:lang w:val="ro-RO" w:bidi="th-TH"/>
        </w:rPr>
        <w:t xml:space="preserve"> </w:t>
      </w:r>
      <w:r w:rsidR="004B1529" w:rsidRPr="00B20FBA">
        <w:rPr>
          <w:b/>
          <w:lang w:val="ro-RO" w:bidi="th-TH"/>
        </w:rPr>
        <w:t>Hmax = 32,00 m</w:t>
      </w:r>
      <w:r w:rsidR="00C32B09" w:rsidRPr="00B20FBA">
        <w:rPr>
          <w:lang w:val="ro-RO" w:bidi="th-TH"/>
        </w:rPr>
        <w:t xml:space="preserve">; </w:t>
      </w:r>
      <w:r w:rsidR="00C32B09" w:rsidRPr="00B20FBA">
        <w:rPr>
          <w:lang w:val="ro-RO" w:eastAsia="ro-RO"/>
        </w:rPr>
        <w:t xml:space="preserve">acces auto conform Avizului Comisiei de Circulaţie nr. </w:t>
      </w:r>
      <w:r w:rsidR="00C32B09" w:rsidRPr="00B20FBA">
        <w:rPr>
          <w:lang w:val="ro-RO"/>
        </w:rPr>
        <w:t xml:space="preserve">nr. </w:t>
      </w:r>
      <w:r w:rsidR="00B82EBE" w:rsidRPr="00B20FBA">
        <w:rPr>
          <w:lang w:val="ro-RO" w:bidi="th-TH"/>
        </w:rPr>
        <w:t>DT2017-002567/03.08.2017</w:t>
      </w:r>
      <w:r w:rsidR="00C32B09" w:rsidRPr="00B20FBA">
        <w:rPr>
          <w:lang w:val="ro-RO"/>
        </w:rPr>
        <w:t xml:space="preserve">, </w:t>
      </w:r>
      <w:r w:rsidR="00C32B09" w:rsidRPr="00B20FBA">
        <w:rPr>
          <w:lang w:val="ro-RO" w:eastAsia="ro-RO"/>
        </w:rPr>
        <w:t>realizarea locurilor de parcare exclusiv pe parcela deţinută de beneficiari</w:t>
      </w:r>
      <w:r w:rsidR="00B82EBE" w:rsidRPr="00B20FBA">
        <w:rPr>
          <w:lang w:val="ro-RO" w:eastAsia="ro-RO"/>
        </w:rPr>
        <w:t xml:space="preserve">, </w:t>
      </w:r>
      <w:r w:rsidR="00B82EBE" w:rsidRPr="00B20FBA">
        <w:rPr>
          <w:b/>
          <w:lang w:val="ro-RO" w:eastAsia="ro-RO"/>
        </w:rPr>
        <w:t>POTmax= 60%, CUTmax= 2,8</w:t>
      </w:r>
      <w:r w:rsidR="00C32B09" w:rsidRPr="00B20FBA">
        <w:rPr>
          <w:b/>
          <w:lang w:val="ro-RO" w:bidi="th-TH"/>
        </w:rPr>
        <w:t xml:space="preserve">. </w:t>
      </w:r>
      <w:r w:rsidR="00B82EBE" w:rsidRPr="00B20FBA">
        <w:rPr>
          <w:b/>
          <w:lang w:val="ro-RO" w:bidi="th-TH"/>
        </w:rPr>
        <w:t>Spatii verzi amenajate minim 20,00 % -</w:t>
      </w:r>
      <w:r w:rsidR="00B82EBE" w:rsidRPr="00B20FBA">
        <w:rPr>
          <w:lang w:val="ro-RO" w:bidi="th-TH"/>
        </w:rPr>
        <w:t xml:space="preserve"> conform Deciziei de încadrare nr. 87/27.11.2017 a Agenţiei pentru Protecţia Mediului Timiş</w:t>
      </w:r>
      <w:r w:rsidR="00C32B09" w:rsidRPr="00B20FBA">
        <w:rPr>
          <w:lang w:val="ro-RO" w:bidi="th-TH"/>
        </w:rPr>
        <w:t xml:space="preserve"> – suprafaţa de spaţii verzi va fi amenajată şi întreţinută.</w:t>
      </w:r>
    </w:p>
    <w:p w:rsidR="00B20FBA" w:rsidRPr="00B20FBA" w:rsidRDefault="00B20FBA" w:rsidP="004B1529">
      <w:pPr>
        <w:spacing w:line="276" w:lineRule="auto"/>
        <w:ind w:firstLine="720"/>
        <w:contextualSpacing/>
        <w:jc w:val="both"/>
        <w:outlineLvl w:val="0"/>
        <w:rPr>
          <w:b/>
          <w:lang w:val="ro-RO" w:bidi="th-TH"/>
        </w:rPr>
      </w:pPr>
    </w:p>
    <w:p w:rsidR="00AC3F95" w:rsidRPr="00B20FBA" w:rsidRDefault="00AC3F95" w:rsidP="00BE4791">
      <w:pPr>
        <w:jc w:val="both"/>
        <w:rPr>
          <w:lang w:val="ro-RO" w:eastAsia="th-TH" w:bidi="th-TH"/>
        </w:rPr>
      </w:pPr>
      <w:r w:rsidRPr="00B20FBA">
        <w:rPr>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9C13D5" w:rsidRPr="00B20FBA" w:rsidRDefault="00AC3F95" w:rsidP="00985CD2">
      <w:pPr>
        <w:jc w:val="both"/>
        <w:rPr>
          <w:color w:val="FF0000"/>
          <w:lang w:val="ro-RO" w:eastAsia="th-TH" w:bidi="th-TH"/>
        </w:rPr>
      </w:pPr>
      <w:r w:rsidRPr="00B20FBA">
        <w:rPr>
          <w:color w:val="FF0000"/>
          <w:lang w:val="ro-RO" w:eastAsia="th-TH" w:bidi="th-TH"/>
        </w:rPr>
        <w:tab/>
      </w:r>
    </w:p>
    <w:p w:rsidR="00AC3F95" w:rsidRDefault="00AC3F95" w:rsidP="009C13D5">
      <w:pPr>
        <w:ind w:firstLine="720"/>
        <w:jc w:val="both"/>
        <w:rPr>
          <w:b/>
          <w:lang w:val="ro-RO"/>
        </w:rPr>
      </w:pPr>
      <w:r w:rsidRPr="00B20FBA">
        <w:rPr>
          <w:lang w:val="ro-RO"/>
        </w:rPr>
        <w:t xml:space="preserve">3. </w:t>
      </w:r>
      <w:r w:rsidRPr="00B20FBA">
        <w:rPr>
          <w:b/>
          <w:lang w:val="ro-RO"/>
        </w:rPr>
        <w:t xml:space="preserve">Prezentul Plan Urbanistic Zonal </w:t>
      </w:r>
      <w:r w:rsidR="00575D8C" w:rsidRPr="00B20FBA">
        <w:rPr>
          <w:b/>
          <w:bCs/>
          <w:lang w:val="ro-RO"/>
        </w:rPr>
        <w:t>„Dezvoltare zonă mixtă: comerţ, servicii, funcţiuni administrative şi birouri în regim de înălţime S+P+8E” Bulevardul Industriei nr. 2, Timişoara</w:t>
      </w:r>
      <w:r w:rsidR="00C32B09" w:rsidRPr="00B20FBA">
        <w:rPr>
          <w:b/>
          <w:lang w:val="ro-RO"/>
        </w:rPr>
        <w:t>,</w:t>
      </w:r>
      <w:r w:rsidRPr="00B20FBA">
        <w:rPr>
          <w:b/>
          <w:lang w:val="ro-RO"/>
        </w:rPr>
        <w:t xml:space="preserve"> se va integra în Planul Urbanistic General al Municipiului Timişoara şi va avea valabilitate de 3 ani, perioadă în care pot fi demarate investiţiile prevăzute în documentaţie.</w:t>
      </w:r>
    </w:p>
    <w:p w:rsidR="00B20FBA" w:rsidRPr="00B20FBA" w:rsidRDefault="00B20FBA" w:rsidP="009C13D5">
      <w:pPr>
        <w:ind w:firstLine="720"/>
        <w:jc w:val="both"/>
        <w:rPr>
          <w:b/>
          <w:lang w:val="ro-RO"/>
        </w:rPr>
      </w:pPr>
    </w:p>
    <w:p w:rsidR="00575D8C" w:rsidRDefault="00A92CDD" w:rsidP="00B20FBA">
      <w:pPr>
        <w:spacing w:line="276" w:lineRule="auto"/>
        <w:ind w:firstLine="720"/>
        <w:contextualSpacing/>
        <w:jc w:val="both"/>
        <w:outlineLvl w:val="0"/>
        <w:rPr>
          <w:lang w:val="ro-RO"/>
        </w:rPr>
      </w:pPr>
      <w:r w:rsidRPr="00B20FBA">
        <w:rPr>
          <w:lang w:val="ro-RO"/>
        </w:rPr>
        <w:t xml:space="preserve">Terenul reglementat, este înscris în </w:t>
      </w:r>
      <w:r w:rsidR="00575D8C" w:rsidRPr="00B20FBA">
        <w:rPr>
          <w:lang w:val="ro-RO" w:bidi="th-TH"/>
        </w:rPr>
        <w:t>extras CF nr. 436362, nr. cad./ topo 436362, Timisoara, Calea Buziasului nr. 11, în suprafaţă de 770 mp, extras CF nr. 436361, nr. cadastral 436361, Bulevardul Industriei nr. 2, în suprafaţă de 32.710 mp</w:t>
      </w:r>
      <w:r w:rsidR="00575D8C" w:rsidRPr="00B20FBA">
        <w:rPr>
          <w:b/>
          <w:lang w:val="ro-RO" w:bidi="th-TH"/>
        </w:rPr>
        <w:t xml:space="preserve">, </w:t>
      </w:r>
      <w:r w:rsidR="00575D8C" w:rsidRPr="00B20FBA">
        <w:rPr>
          <w:lang w:val="ro-RO" w:bidi="th-TH"/>
        </w:rPr>
        <w:t xml:space="preserve">în suprafaţă totală de 33.480 mp, proprietar </w:t>
      </w:r>
      <w:r w:rsidR="00575D8C" w:rsidRPr="00B20FBA">
        <w:rPr>
          <w:bCs/>
          <w:lang w:val="ro-RO"/>
        </w:rPr>
        <w:t>S.C. BEGA TEHNOMET S.A</w:t>
      </w:r>
      <w:r w:rsidR="00575D8C" w:rsidRPr="00B20FBA">
        <w:rPr>
          <w:lang w:val="ro-RO"/>
        </w:rPr>
        <w:t>.</w:t>
      </w:r>
    </w:p>
    <w:p w:rsidR="00B20FBA" w:rsidRPr="00B20FBA" w:rsidRDefault="00B20FBA" w:rsidP="00575D8C">
      <w:pPr>
        <w:spacing w:line="276" w:lineRule="auto"/>
        <w:contextualSpacing/>
        <w:jc w:val="both"/>
        <w:outlineLvl w:val="0"/>
        <w:rPr>
          <w:lang w:val="ro-RO" w:bidi="th-TH"/>
        </w:rPr>
      </w:pPr>
    </w:p>
    <w:p w:rsidR="00AC3F95" w:rsidRDefault="00AC3F95" w:rsidP="00BE4791">
      <w:pPr>
        <w:autoSpaceDE w:val="0"/>
        <w:ind w:firstLine="720"/>
        <w:jc w:val="both"/>
        <w:rPr>
          <w:lang w:val="ro-RO" w:eastAsia="ro-RO"/>
        </w:rPr>
      </w:pPr>
      <w:r w:rsidRPr="00B20FBA">
        <w:rPr>
          <w:b/>
          <w:lang w:val="ro-RO"/>
        </w:rPr>
        <w:t>4. Autorizaţiile de construire</w:t>
      </w:r>
      <w:r w:rsidRPr="00B20FBA">
        <w:rPr>
          <w:lang w:val="ro-RO"/>
        </w:rPr>
        <w:t xml:space="preserve"> se vor emite doar după realizarea în prealabil a operaţiunilor reglementate prin documentaţia de urbanism cu privire la obligativitatea asigurării acceselor din domeniul public conform</w:t>
      </w:r>
      <w:r w:rsidR="00C32B09" w:rsidRPr="00B20FBA">
        <w:rPr>
          <w:lang w:val="ro-RO"/>
        </w:rPr>
        <w:t xml:space="preserve"> Proiectului nr. </w:t>
      </w:r>
      <w:r w:rsidR="00575D8C" w:rsidRPr="00B20FBA">
        <w:rPr>
          <w:lang w:val="ro-RO"/>
        </w:rPr>
        <w:t>47/2017</w:t>
      </w:r>
      <w:r w:rsidR="00C32B09" w:rsidRPr="00B20FBA">
        <w:rPr>
          <w:lang w:val="ro-RO"/>
        </w:rPr>
        <w:t>, planşa</w:t>
      </w:r>
      <w:r w:rsidRPr="00B20FBA">
        <w:rPr>
          <w:lang w:val="ro-RO"/>
        </w:rPr>
        <w:t xml:space="preserve"> nr. </w:t>
      </w:r>
      <w:r w:rsidR="00575D8C" w:rsidRPr="00B20FBA">
        <w:rPr>
          <w:lang w:val="ro-RO"/>
        </w:rPr>
        <w:t>47A08</w:t>
      </w:r>
      <w:r w:rsidRPr="00B20FBA">
        <w:rPr>
          <w:lang w:val="ro-RO"/>
        </w:rPr>
        <w:t xml:space="preserve"> - ,,</w:t>
      </w:r>
      <w:r w:rsidR="00575D8C" w:rsidRPr="00B20FBA">
        <w:rPr>
          <w:lang w:val="ro-RO"/>
        </w:rPr>
        <w:t>Circulaţia terenurilor</w:t>
      </w:r>
      <w:r w:rsidRPr="00B20FBA">
        <w:rPr>
          <w:lang w:val="ro-RO"/>
        </w:rPr>
        <w:t>” şi asigurarea tuturor utilităţilor necesare investiţiei în conformitate cu Planul de acţiune asumat</w:t>
      </w:r>
      <w:r w:rsidRPr="00B20FBA">
        <w:rPr>
          <w:lang w:val="ro-RO" w:eastAsia="ro-RO"/>
        </w:rPr>
        <w:t xml:space="preserve">. </w:t>
      </w:r>
    </w:p>
    <w:p w:rsidR="00B20FBA" w:rsidRDefault="00B20FBA" w:rsidP="00BE4791">
      <w:pPr>
        <w:autoSpaceDE w:val="0"/>
        <w:ind w:firstLine="720"/>
        <w:jc w:val="both"/>
        <w:rPr>
          <w:lang w:val="ro-RO" w:eastAsia="ro-RO"/>
        </w:rPr>
      </w:pPr>
    </w:p>
    <w:p w:rsidR="00B20FBA" w:rsidRDefault="00B20FBA" w:rsidP="00132A0D">
      <w:pPr>
        <w:ind w:firstLine="720"/>
        <w:jc w:val="both"/>
        <w:rPr>
          <w:lang w:val="ro-RO" w:eastAsia="ro-RO"/>
        </w:rPr>
      </w:pPr>
    </w:p>
    <w:p w:rsidR="00B20FBA" w:rsidRDefault="00B20FBA" w:rsidP="00132A0D">
      <w:pPr>
        <w:ind w:firstLine="720"/>
        <w:jc w:val="both"/>
        <w:rPr>
          <w:lang w:val="ro-RO" w:eastAsia="ro-RO"/>
        </w:rPr>
      </w:pPr>
    </w:p>
    <w:p w:rsidR="00AC3F95" w:rsidRPr="00B20FBA" w:rsidRDefault="00AC3F95" w:rsidP="00132A0D">
      <w:pPr>
        <w:ind w:firstLine="720"/>
        <w:jc w:val="both"/>
        <w:rPr>
          <w:lang w:val="ro-RO"/>
        </w:rPr>
      </w:pPr>
      <w:r w:rsidRPr="00B20FBA">
        <w:rPr>
          <w:lang w:val="ro-RO" w:eastAsia="ro-RO"/>
        </w:rPr>
        <w:t xml:space="preserve">5. </w:t>
      </w:r>
      <w:r w:rsidRPr="00B20FBA">
        <w:rPr>
          <w:lang w:val="ro-RO"/>
        </w:rPr>
        <w:t>După aprobare prin hotărârea consiliului local a documentaţiei PUZ şi RLU aferent, hotărârea însoţită de documentaţie</w:t>
      </w:r>
      <w:r w:rsidRPr="00B20FBA">
        <w:rPr>
          <w:lang w:val="ro-RO" w:eastAsia="ro-RO"/>
        </w:rPr>
        <w:t xml:space="preserve"> </w:t>
      </w:r>
      <w:r w:rsidRPr="00B20FBA">
        <w:rPr>
          <w:lang w:val="ro-RO"/>
        </w:rPr>
        <w:t>va fi transmis</w:t>
      </w:r>
      <w:r w:rsidR="00F1329E" w:rsidRPr="00B20FBA">
        <w:rPr>
          <w:lang w:val="ro-RO"/>
        </w:rPr>
        <w:t>ă</w:t>
      </w:r>
      <w:r w:rsidRPr="00B20FBA">
        <w:rPr>
          <w:lang w:val="ro-RO"/>
        </w:rPr>
        <w:t xml:space="preserve">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AC3F95" w:rsidRPr="00B20FBA" w:rsidRDefault="00AC3F95" w:rsidP="00BE4791">
      <w:pPr>
        <w:autoSpaceDE w:val="0"/>
        <w:ind w:firstLine="720"/>
        <w:jc w:val="both"/>
        <w:rPr>
          <w:lang w:val="ro-RO"/>
        </w:rPr>
      </w:pPr>
      <w:r w:rsidRPr="00B20FBA">
        <w:rPr>
          <w:lang w:val="ro-RO"/>
        </w:rPr>
        <w:t xml:space="preserve">6. Reglementările privind autorizarea construcţiilor şi a amenajărilor vor fi aplicate în concordanţă cu prevederile prezentului Plan Urbanistic Zonal </w:t>
      </w:r>
      <w:r w:rsidR="003914A5" w:rsidRPr="00B20FBA">
        <w:rPr>
          <w:bCs/>
          <w:lang w:val="ro-RO"/>
        </w:rPr>
        <w:t>„</w:t>
      </w:r>
      <w:r w:rsidR="003914A5" w:rsidRPr="00B20FBA">
        <w:rPr>
          <w:lang w:val="ro-RO"/>
        </w:rPr>
        <w:t>Dezvoltare zonă mixtă: comerţ, servicii, funcţiuni administrative şi birouri în regim de înălţime S+P+8E” Bulevardul Industriei nr. 2 Timişoara</w:t>
      </w:r>
      <w:r w:rsidR="00C32B09" w:rsidRPr="00B20FBA">
        <w:rPr>
          <w:lang w:val="ro-RO"/>
        </w:rPr>
        <w:t>,</w:t>
      </w:r>
      <w:r w:rsidRPr="00B20FBA">
        <w:rPr>
          <w:lang w:val="ro-RO"/>
        </w:rPr>
        <w:t xml:space="preserve"> a Regulamentului Local de Urbanism.</w:t>
      </w:r>
    </w:p>
    <w:p w:rsidR="009C13D5" w:rsidRPr="00B20FBA" w:rsidRDefault="009C13D5" w:rsidP="00EE4C8C">
      <w:pPr>
        <w:ind w:firstLine="720"/>
        <w:jc w:val="both"/>
        <w:rPr>
          <w:lang w:val="ro-RO"/>
        </w:rPr>
      </w:pPr>
    </w:p>
    <w:p w:rsidR="00AC3F95" w:rsidRPr="00B20FBA" w:rsidRDefault="00AC3F95" w:rsidP="00EE4C8C">
      <w:pPr>
        <w:ind w:firstLine="720"/>
        <w:jc w:val="both"/>
        <w:rPr>
          <w:lang w:val="ro-RO"/>
        </w:rPr>
      </w:pPr>
      <w:r w:rsidRPr="00B20FBA">
        <w:rPr>
          <w:b/>
          <w:lang w:val="ro-RO"/>
        </w:rPr>
        <w:t>Având în vedere prevederile legale expuse în prezentul raport, aprecie</w:t>
      </w:r>
      <w:r w:rsidR="009C13D5" w:rsidRPr="00B20FBA">
        <w:rPr>
          <w:b/>
          <w:lang w:val="ro-RO"/>
        </w:rPr>
        <w:t>m</w:t>
      </w:r>
      <w:r w:rsidRPr="00B20FBA">
        <w:rPr>
          <w:b/>
          <w:lang w:val="ro-RO"/>
        </w:rPr>
        <w:t xml:space="preserve"> că proiectul de hotărâre privind aprobarea Planului Urbanistic Zonal </w:t>
      </w:r>
      <w:r w:rsidR="00483D68" w:rsidRPr="00B20FBA">
        <w:rPr>
          <w:b/>
          <w:lang w:val="ro-RO"/>
        </w:rPr>
        <w:t>„Dezvoltare zonă mixtă: comerţ, servicii, funcţiuni administrative şi birouri în regim de înălţime S+P+8E”, Bld. Industriilor nr. 2, Timisoara</w:t>
      </w:r>
      <w:r w:rsidR="009C13D5" w:rsidRPr="00B20FBA">
        <w:rPr>
          <w:b/>
          <w:lang w:val="ro-RO"/>
        </w:rPr>
        <w:t>,</w:t>
      </w:r>
      <w:r w:rsidRPr="00B20FBA">
        <w:rPr>
          <w:b/>
          <w:lang w:val="ro-RO"/>
        </w:rPr>
        <w:t xml:space="preserve"> </w:t>
      </w:r>
      <w:r w:rsidRPr="00B20FBA">
        <w:rPr>
          <w:b/>
          <w:bCs/>
          <w:lang w:val="ro-RO"/>
        </w:rPr>
        <w:t>Timişoara</w:t>
      </w:r>
      <w:r w:rsidRPr="00B20FBA">
        <w:rPr>
          <w:b/>
          <w:lang w:val="ro-RO"/>
        </w:rPr>
        <w:t xml:space="preserve"> îndeplineşte condiţiile pentru a fi supus dezbaterii şi aprobării plenului consiliului local</w:t>
      </w:r>
      <w:r w:rsidRPr="00B20FBA">
        <w:rPr>
          <w:lang w:val="ro-RO"/>
        </w:rPr>
        <w:t xml:space="preserve">. </w:t>
      </w:r>
    </w:p>
    <w:p w:rsidR="00AC3F95" w:rsidRPr="00B20FBA" w:rsidRDefault="00AC3F95" w:rsidP="009C13D5">
      <w:pPr>
        <w:autoSpaceDE w:val="0"/>
        <w:jc w:val="both"/>
        <w:rPr>
          <w:b/>
          <w:lang w:val="ro-RO"/>
        </w:rPr>
      </w:pPr>
    </w:p>
    <w:p w:rsidR="00AC3F95" w:rsidRPr="00B20FBA" w:rsidRDefault="00AC3F95" w:rsidP="00BE4791">
      <w:pPr>
        <w:jc w:val="center"/>
        <w:rPr>
          <w:lang w:val="ro-RO"/>
        </w:rPr>
      </w:pPr>
      <w:r w:rsidRPr="00B20FBA">
        <w:rPr>
          <w:lang w:val="ro-RO"/>
        </w:rPr>
        <w:t>ARHITECT SEF</w:t>
      </w:r>
    </w:p>
    <w:p w:rsidR="00AC3F95" w:rsidRPr="00B20FBA" w:rsidRDefault="00AC3F95" w:rsidP="00BE4791">
      <w:pPr>
        <w:jc w:val="center"/>
        <w:rPr>
          <w:lang w:val="ro-RO"/>
        </w:rPr>
      </w:pPr>
      <w:r w:rsidRPr="00B20FBA">
        <w:rPr>
          <w:lang w:val="ro-RO"/>
        </w:rPr>
        <w:t>Emilian Sorin CIURARIU</w:t>
      </w:r>
    </w:p>
    <w:p w:rsidR="009C13D5" w:rsidRPr="00B20FBA" w:rsidRDefault="009C13D5" w:rsidP="009C13D5">
      <w:pPr>
        <w:ind w:left="5760" w:firstLine="720"/>
        <w:jc w:val="center"/>
        <w:rPr>
          <w:lang w:val="ro-RO"/>
        </w:rPr>
      </w:pPr>
    </w:p>
    <w:p w:rsidR="009C13D5" w:rsidRPr="00B20FBA" w:rsidRDefault="009C13D5" w:rsidP="009C13D5">
      <w:pPr>
        <w:ind w:left="5760" w:firstLine="720"/>
        <w:jc w:val="center"/>
        <w:rPr>
          <w:lang w:val="ro-RO"/>
        </w:rPr>
      </w:pPr>
    </w:p>
    <w:p w:rsidR="009C13D5" w:rsidRPr="00B20FBA" w:rsidRDefault="009C13D5" w:rsidP="009C13D5">
      <w:pPr>
        <w:ind w:left="5760" w:firstLine="720"/>
        <w:jc w:val="center"/>
        <w:rPr>
          <w:lang w:val="ro-RO"/>
        </w:rPr>
      </w:pPr>
    </w:p>
    <w:p w:rsidR="009C13D5" w:rsidRPr="00B20FBA" w:rsidRDefault="009C13D5" w:rsidP="009C13D5">
      <w:pPr>
        <w:ind w:left="5760" w:firstLine="720"/>
        <w:jc w:val="center"/>
        <w:rPr>
          <w:lang w:val="ro-RO"/>
        </w:rPr>
      </w:pPr>
    </w:p>
    <w:p w:rsidR="00AC3F95" w:rsidRPr="00B20FBA" w:rsidRDefault="00AC3F95" w:rsidP="009C13D5">
      <w:pPr>
        <w:ind w:left="5760" w:firstLine="720"/>
        <w:jc w:val="center"/>
        <w:rPr>
          <w:lang w:val="ro-RO"/>
        </w:rPr>
      </w:pPr>
      <w:r w:rsidRPr="00B20FBA">
        <w:rPr>
          <w:lang w:val="ro-RO"/>
        </w:rPr>
        <w:t>CONSILIER</w:t>
      </w:r>
    </w:p>
    <w:p w:rsidR="00AC3F95" w:rsidRPr="00B20FBA" w:rsidRDefault="00AC3F95" w:rsidP="009C13D5">
      <w:pPr>
        <w:ind w:left="5760" w:firstLine="720"/>
        <w:jc w:val="center"/>
        <w:rPr>
          <w:lang w:val="ro-RO"/>
        </w:rPr>
      </w:pPr>
      <w:r w:rsidRPr="00B20FBA">
        <w:rPr>
          <w:lang w:val="ro-RO"/>
        </w:rPr>
        <w:t>Sorina Popa</w:t>
      </w:r>
    </w:p>
    <w:p w:rsidR="00AC3F95" w:rsidRDefault="00AC3F95"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Default="00B20FBA" w:rsidP="00BE4791">
      <w:pPr>
        <w:tabs>
          <w:tab w:val="center" w:pos="5270"/>
        </w:tabs>
        <w:rPr>
          <w:lang w:val="ro-RO"/>
        </w:rPr>
      </w:pPr>
    </w:p>
    <w:p w:rsidR="00B20FBA" w:rsidRPr="00B20FBA" w:rsidRDefault="00B20FBA" w:rsidP="00BE4791">
      <w:pPr>
        <w:tabs>
          <w:tab w:val="center" w:pos="5270"/>
        </w:tabs>
        <w:rPr>
          <w:lang w:val="ro-RO"/>
        </w:rPr>
      </w:pPr>
    </w:p>
    <w:p w:rsidR="00F1329E" w:rsidRPr="00B20FBA" w:rsidRDefault="00F1329E" w:rsidP="00BE4791">
      <w:pPr>
        <w:tabs>
          <w:tab w:val="center" w:pos="5270"/>
        </w:tabs>
        <w:rPr>
          <w:lang w:val="ro-RO"/>
        </w:rPr>
      </w:pPr>
    </w:p>
    <w:p w:rsidR="00B461A6" w:rsidRPr="00B20FBA" w:rsidRDefault="00AC3F95" w:rsidP="009C13D5">
      <w:pPr>
        <w:tabs>
          <w:tab w:val="center" w:pos="5270"/>
        </w:tabs>
        <w:rPr>
          <w:sz w:val="16"/>
          <w:szCs w:val="16"/>
          <w:lang w:val="ro-RO"/>
        </w:rPr>
      </w:pPr>
      <w:r w:rsidRPr="00B20FBA">
        <w:rPr>
          <w:sz w:val="16"/>
          <w:szCs w:val="16"/>
          <w:lang w:val="ro-RO"/>
        </w:rPr>
        <w:t>Red/</w:t>
      </w:r>
      <w:r w:rsidR="00F23B23" w:rsidRPr="00B20FBA">
        <w:rPr>
          <w:sz w:val="16"/>
          <w:szCs w:val="16"/>
          <w:lang w:val="ro-RO"/>
        </w:rPr>
        <w:t>dact – S.P.</w:t>
      </w:r>
    </w:p>
    <w:sectPr w:rsidR="00B461A6" w:rsidRPr="00B20FBA" w:rsidSect="00B20FBA">
      <w:headerReference w:type="default" r:id="rId7"/>
      <w:footerReference w:type="default" r:id="rId8"/>
      <w:pgSz w:w="12242" w:h="15842" w:code="1"/>
      <w:pgMar w:top="737" w:right="1134" w:bottom="737" w:left="1701"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D8C" w:rsidRDefault="00575D8C">
      <w:r>
        <w:separator/>
      </w:r>
    </w:p>
  </w:endnote>
  <w:endnote w:type="continuationSeparator" w:id="1">
    <w:p w:rsidR="00575D8C" w:rsidRDefault="0057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D8C" w:rsidRDefault="00575D8C">
    <w:pPr>
      <w:ind w:firstLine="709"/>
      <w:jc w:val="right"/>
    </w:pPr>
    <w:r>
      <w:rPr>
        <w:sz w:val="20"/>
        <w:szCs w:val="20"/>
        <w:lang w:val="ro-RO"/>
      </w:rPr>
      <w:t>Cod FP 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D8C" w:rsidRDefault="00575D8C">
      <w:r>
        <w:separator/>
      </w:r>
    </w:p>
  </w:footnote>
  <w:footnote w:type="continuationSeparator" w:id="1">
    <w:p w:rsidR="00575D8C" w:rsidRDefault="00575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7" w:type="dxa"/>
      <w:tblLayout w:type="fixed"/>
      <w:tblCellMar>
        <w:left w:w="115" w:type="dxa"/>
        <w:right w:w="115" w:type="dxa"/>
      </w:tblCellMar>
      <w:tblLook w:val="0000"/>
    </w:tblPr>
    <w:tblGrid>
      <w:gridCol w:w="1677"/>
      <w:gridCol w:w="8140"/>
    </w:tblGrid>
    <w:tr w:rsidR="00575D8C" w:rsidRPr="00E00180" w:rsidTr="00EE5293">
      <w:trPr>
        <w:trHeight w:hRule="exact" w:val="1877"/>
      </w:trPr>
      <w:tc>
        <w:tcPr>
          <w:tcW w:w="1677" w:type="dxa"/>
        </w:tcPr>
        <w:p w:rsidR="00575D8C" w:rsidRDefault="00737771">
          <w:pPr>
            <w:snapToGrid w:val="0"/>
            <w:ind w:right="451"/>
            <w:jc w:val="right"/>
            <w:rPr>
              <w:rFonts w:ascii="Calibri" w:hAnsi="Calibri" w:cs="Calibri"/>
              <w:b/>
              <w:color w:val="595959"/>
              <w:lang w:val="en-US"/>
            </w:rPr>
          </w:pPr>
          <w:r w:rsidRPr="00737771">
            <w:rPr>
              <w:noProof/>
              <w:lang w:val="ro-RO" w:eastAsia="ro-RO"/>
            </w:rPr>
            <w:pict>
              <v:shapetype id="_x0000_t202" coordsize="21600,21600" o:spt="202" path="m,l,21600r21600,l21600,xe">
                <v:stroke joinstyle="miter"/>
                <v:path gradientshapeok="t" o:connecttype="rect"/>
              </v:shapetype>
              <v:shape id="_x0000_s2049" type="#_x0000_t202" style="position:absolute;left:0;text-align:left;margin-left:-2pt;margin-top:.55pt;width:69pt;height:98.35pt;z-index:251658240;mso-wrap-distance-left:9.05pt;mso-wrap-distance-right:9.05pt;mso-position-horizontal-relative:margin;mso-position-vertical-relative:margin" wrapcoords="0 0 21600 0 21600 21600 0 21600 0 0" stroked="f">
                <v:fill opacity="0" color2="black"/>
                <v:textbox style="mso-next-textbox:#_x0000_s2049" inset="0,0,0,0">
                  <w:txbxContent>
                    <w:p w:rsidR="00575D8C" w:rsidRPr="00C0612F" w:rsidRDefault="00737771">
                      <w:pPr>
                        <w:rPr>
                          <w:sz w:val="16"/>
                          <w:szCs w:val="16"/>
                        </w:rPr>
                      </w:pPr>
                      <w:r w:rsidRPr="00737771">
                        <w:rPr>
                          <w:noProo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7.55pt;height:81.5pt;visibility:visible" filled="t">
                            <v:fill opacity="0"/>
                            <v:imagedata r:id="rId1" o:title=""/>
                          </v:shape>
                        </w:pict>
                      </w:r>
                    </w:p>
                  </w:txbxContent>
                </v:textbox>
                <w10:wrap type="tight" anchorx="margin" anchory="margin"/>
              </v:shape>
            </w:pict>
          </w:r>
        </w:p>
      </w:tc>
      <w:tc>
        <w:tcPr>
          <w:tcW w:w="8140" w:type="dxa"/>
          <w:tcBorders>
            <w:left w:val="single" w:sz="20" w:space="0" w:color="FF0000"/>
          </w:tcBorders>
        </w:tcPr>
        <w:p w:rsidR="00575D8C" w:rsidRDefault="00575D8C">
          <w:pPr>
            <w:jc w:val="right"/>
            <w:rPr>
              <w:rFonts w:ascii="Calibri" w:hAnsi="Calibri" w:cs="Calibri"/>
              <w:b/>
              <w:bCs/>
              <w:spacing w:val="60"/>
              <w:sz w:val="16"/>
              <w:szCs w:val="16"/>
              <w:lang w:val="it-IT"/>
            </w:rPr>
          </w:pPr>
          <w:r>
            <w:rPr>
              <w:rFonts w:ascii="Calibri" w:hAnsi="Calibri" w:cs="Calibri"/>
              <w:b/>
              <w:bCs/>
              <w:spacing w:val="60"/>
              <w:sz w:val="16"/>
              <w:szCs w:val="16"/>
              <w:lang w:val="it-IT"/>
            </w:rPr>
            <w:t>ROMÂNIA</w:t>
          </w:r>
        </w:p>
        <w:p w:rsidR="00575D8C" w:rsidRDefault="00575D8C">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575D8C" w:rsidRDefault="00575D8C">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575D8C" w:rsidRDefault="00575D8C">
          <w:pPr>
            <w:jc w:val="right"/>
            <w:rPr>
              <w:rFonts w:ascii="Calibri" w:hAnsi="Calibri" w:cs="Calibri"/>
              <w:bCs/>
              <w:spacing w:val="60"/>
              <w:sz w:val="16"/>
              <w:szCs w:val="20"/>
              <w:lang w:val="it-IT"/>
            </w:rPr>
          </w:pPr>
          <w:r>
            <w:rPr>
              <w:rFonts w:ascii="Calibri" w:hAnsi="Calibri" w:cs="Calibri"/>
              <w:bCs/>
              <w:spacing w:val="60"/>
              <w:sz w:val="16"/>
              <w:szCs w:val="20"/>
              <w:lang w:val="it-IT"/>
            </w:rPr>
            <w:t>DIRECTIA GENERALA DE URBANISM SI DEZVOLTARE URBANA</w:t>
          </w:r>
        </w:p>
        <w:p w:rsidR="00575D8C" w:rsidRDefault="00575D8C">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 xml:space="preserve">BIROUL </w:t>
          </w:r>
          <w:r>
            <w:rPr>
              <w:rFonts w:ascii="Calibri" w:hAnsi="Calibri" w:cs="Calibri"/>
              <w:bCs/>
              <w:spacing w:val="60"/>
              <w:sz w:val="16"/>
              <w:szCs w:val="20"/>
              <w:lang w:val="ro-RO"/>
            </w:rPr>
            <w:t>AVIZARE CONFORMITATI PUG/PUD/PUZ</w:t>
          </w:r>
        </w:p>
        <w:p w:rsidR="00575D8C" w:rsidRDefault="00575D8C">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575D8C" w:rsidRDefault="00575D8C" w:rsidP="0008082C">
          <w:pPr>
            <w:jc w:val="right"/>
            <w:rPr>
              <w:sz w:val="16"/>
              <w:szCs w:val="16"/>
              <w:lang w:val="it-IT"/>
            </w:rPr>
          </w:pPr>
          <w:r>
            <w:rPr>
              <w:rFonts w:ascii="Calibri" w:hAnsi="Calibri" w:cs="Calibri"/>
              <w:bCs/>
              <w:spacing w:val="60"/>
              <w:sz w:val="12"/>
              <w:szCs w:val="12"/>
              <w:lang w:val="it-IT"/>
            </w:rPr>
            <w:t>e-mail:dezvoltareurbana@primariatm.ro, internet:www.primariatm.ro</w:t>
          </w:r>
        </w:p>
      </w:tc>
    </w:tr>
  </w:tbl>
  <w:p w:rsidR="00575D8C" w:rsidRDefault="00575D8C" w:rsidP="00DF426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C03587C"/>
    <w:multiLevelType w:val="hybridMultilevel"/>
    <w:tmpl w:val="8D1CDD44"/>
    <w:lvl w:ilvl="0" w:tplc="05F27748">
      <w:numFmt w:val="bullet"/>
      <w:lvlText w:val="-"/>
      <w:lvlJc w:val="left"/>
      <w:pPr>
        <w:ind w:left="1080" w:hanging="360"/>
      </w:pPr>
      <w:rPr>
        <w:rFonts w:ascii="Times New Roman" w:eastAsia="Batang"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0B2EEC"/>
    <w:multiLevelType w:val="hybridMultilevel"/>
    <w:tmpl w:val="81181A54"/>
    <w:lvl w:ilvl="0" w:tplc="CAFCCCF6">
      <w:start w:val="9"/>
      <w:numFmt w:val="bullet"/>
      <w:lvlText w:val="-"/>
      <w:lvlJc w:val="left"/>
      <w:pPr>
        <w:ind w:left="720" w:hanging="360"/>
      </w:pPr>
      <w:rPr>
        <w:rFonts w:ascii="Cambria" w:eastAsia="Cambria"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EB5"/>
    <w:rsid w:val="000300FD"/>
    <w:rsid w:val="00031ECC"/>
    <w:rsid w:val="0003464D"/>
    <w:rsid w:val="00063293"/>
    <w:rsid w:val="000764DA"/>
    <w:rsid w:val="0008082C"/>
    <w:rsid w:val="00083FA9"/>
    <w:rsid w:val="0008736D"/>
    <w:rsid w:val="000A24FE"/>
    <w:rsid w:val="000A6CFA"/>
    <w:rsid w:val="000B06AB"/>
    <w:rsid w:val="000B7D8B"/>
    <w:rsid w:val="000D49BE"/>
    <w:rsid w:val="000D7AE4"/>
    <w:rsid w:val="000E28C7"/>
    <w:rsid w:val="000E4F9F"/>
    <w:rsid w:val="000F69B6"/>
    <w:rsid w:val="0011059D"/>
    <w:rsid w:val="00132A0D"/>
    <w:rsid w:val="00143705"/>
    <w:rsid w:val="0015163D"/>
    <w:rsid w:val="001546AC"/>
    <w:rsid w:val="001711B2"/>
    <w:rsid w:val="00180B82"/>
    <w:rsid w:val="0018334D"/>
    <w:rsid w:val="00183F05"/>
    <w:rsid w:val="00186EB6"/>
    <w:rsid w:val="00191E4B"/>
    <w:rsid w:val="001B27AF"/>
    <w:rsid w:val="001B3502"/>
    <w:rsid w:val="001C4D9C"/>
    <w:rsid w:val="001D008C"/>
    <w:rsid w:val="001F2B00"/>
    <w:rsid w:val="001F60A9"/>
    <w:rsid w:val="00205D5E"/>
    <w:rsid w:val="00212815"/>
    <w:rsid w:val="002132CA"/>
    <w:rsid w:val="00223C62"/>
    <w:rsid w:val="00275079"/>
    <w:rsid w:val="00281D5C"/>
    <w:rsid w:val="002A0CB9"/>
    <w:rsid w:val="002B52C2"/>
    <w:rsid w:val="002B5FC8"/>
    <w:rsid w:val="002C2F8D"/>
    <w:rsid w:val="002C4F69"/>
    <w:rsid w:val="002C5A58"/>
    <w:rsid w:val="002D5285"/>
    <w:rsid w:val="002E76D8"/>
    <w:rsid w:val="002F5A79"/>
    <w:rsid w:val="003134BC"/>
    <w:rsid w:val="00313D1A"/>
    <w:rsid w:val="003318B0"/>
    <w:rsid w:val="003354BA"/>
    <w:rsid w:val="00340AB7"/>
    <w:rsid w:val="003420AD"/>
    <w:rsid w:val="00354D49"/>
    <w:rsid w:val="00375668"/>
    <w:rsid w:val="003914A5"/>
    <w:rsid w:val="003938F4"/>
    <w:rsid w:val="00396D92"/>
    <w:rsid w:val="003A7FB9"/>
    <w:rsid w:val="003B38BB"/>
    <w:rsid w:val="003C0425"/>
    <w:rsid w:val="00403836"/>
    <w:rsid w:val="00404AFE"/>
    <w:rsid w:val="004149A8"/>
    <w:rsid w:val="004232A6"/>
    <w:rsid w:val="00430A3A"/>
    <w:rsid w:val="00446931"/>
    <w:rsid w:val="004669FD"/>
    <w:rsid w:val="0047062E"/>
    <w:rsid w:val="00483D68"/>
    <w:rsid w:val="00484BE1"/>
    <w:rsid w:val="0049120A"/>
    <w:rsid w:val="00497616"/>
    <w:rsid w:val="004B1529"/>
    <w:rsid w:val="004B3E7C"/>
    <w:rsid w:val="004B5409"/>
    <w:rsid w:val="004D5EB5"/>
    <w:rsid w:val="004E298C"/>
    <w:rsid w:val="0050179D"/>
    <w:rsid w:val="0051468C"/>
    <w:rsid w:val="00541FB8"/>
    <w:rsid w:val="00542EB5"/>
    <w:rsid w:val="00544F60"/>
    <w:rsid w:val="0054533F"/>
    <w:rsid w:val="00551A29"/>
    <w:rsid w:val="00553018"/>
    <w:rsid w:val="00555DCD"/>
    <w:rsid w:val="00560CA6"/>
    <w:rsid w:val="00573388"/>
    <w:rsid w:val="005752BB"/>
    <w:rsid w:val="00575D8C"/>
    <w:rsid w:val="00586EDB"/>
    <w:rsid w:val="00594B43"/>
    <w:rsid w:val="005F06B9"/>
    <w:rsid w:val="005F1D0B"/>
    <w:rsid w:val="00625365"/>
    <w:rsid w:val="006354B8"/>
    <w:rsid w:val="0065195B"/>
    <w:rsid w:val="006542F0"/>
    <w:rsid w:val="006673CA"/>
    <w:rsid w:val="006B2BE9"/>
    <w:rsid w:val="006C4FE7"/>
    <w:rsid w:val="006C7638"/>
    <w:rsid w:val="007049B1"/>
    <w:rsid w:val="0070777B"/>
    <w:rsid w:val="007231F7"/>
    <w:rsid w:val="00734483"/>
    <w:rsid w:val="00737771"/>
    <w:rsid w:val="00765118"/>
    <w:rsid w:val="00766D12"/>
    <w:rsid w:val="007727BF"/>
    <w:rsid w:val="007830BF"/>
    <w:rsid w:val="00796E9D"/>
    <w:rsid w:val="007A0544"/>
    <w:rsid w:val="007B1175"/>
    <w:rsid w:val="007C2A10"/>
    <w:rsid w:val="007D01D7"/>
    <w:rsid w:val="007D0A73"/>
    <w:rsid w:val="007D0FBD"/>
    <w:rsid w:val="007D6C3C"/>
    <w:rsid w:val="007E316D"/>
    <w:rsid w:val="007E3C30"/>
    <w:rsid w:val="007E6B9C"/>
    <w:rsid w:val="007F1287"/>
    <w:rsid w:val="007F156E"/>
    <w:rsid w:val="00824B5C"/>
    <w:rsid w:val="00850C53"/>
    <w:rsid w:val="00853636"/>
    <w:rsid w:val="008628BD"/>
    <w:rsid w:val="0087543B"/>
    <w:rsid w:val="008826F2"/>
    <w:rsid w:val="00883BDF"/>
    <w:rsid w:val="008B1E1F"/>
    <w:rsid w:val="008B261B"/>
    <w:rsid w:val="008B2D25"/>
    <w:rsid w:val="008B4DB0"/>
    <w:rsid w:val="008D2343"/>
    <w:rsid w:val="008E34A3"/>
    <w:rsid w:val="008F1B73"/>
    <w:rsid w:val="00903FFD"/>
    <w:rsid w:val="009077C4"/>
    <w:rsid w:val="00934C27"/>
    <w:rsid w:val="009565BC"/>
    <w:rsid w:val="00970AA9"/>
    <w:rsid w:val="00985CD2"/>
    <w:rsid w:val="00986B93"/>
    <w:rsid w:val="009A6C47"/>
    <w:rsid w:val="009B4A30"/>
    <w:rsid w:val="009B4A63"/>
    <w:rsid w:val="009B50CF"/>
    <w:rsid w:val="009C13D5"/>
    <w:rsid w:val="009C1BC9"/>
    <w:rsid w:val="009D5BCA"/>
    <w:rsid w:val="009E3BDE"/>
    <w:rsid w:val="009F3AC0"/>
    <w:rsid w:val="009F6D7B"/>
    <w:rsid w:val="009F72FA"/>
    <w:rsid w:val="00A0341F"/>
    <w:rsid w:val="00A07BE7"/>
    <w:rsid w:val="00A105A8"/>
    <w:rsid w:val="00A1430D"/>
    <w:rsid w:val="00A155E7"/>
    <w:rsid w:val="00A26059"/>
    <w:rsid w:val="00A50417"/>
    <w:rsid w:val="00A6046C"/>
    <w:rsid w:val="00A83E31"/>
    <w:rsid w:val="00A92CDD"/>
    <w:rsid w:val="00A97021"/>
    <w:rsid w:val="00AA64D7"/>
    <w:rsid w:val="00AC3F95"/>
    <w:rsid w:val="00AD0EB2"/>
    <w:rsid w:val="00AE3092"/>
    <w:rsid w:val="00AE6F60"/>
    <w:rsid w:val="00AF5E00"/>
    <w:rsid w:val="00B0592D"/>
    <w:rsid w:val="00B1714B"/>
    <w:rsid w:val="00B20FBA"/>
    <w:rsid w:val="00B218F7"/>
    <w:rsid w:val="00B2537A"/>
    <w:rsid w:val="00B265E2"/>
    <w:rsid w:val="00B33B21"/>
    <w:rsid w:val="00B41993"/>
    <w:rsid w:val="00B43694"/>
    <w:rsid w:val="00B43B2F"/>
    <w:rsid w:val="00B461A6"/>
    <w:rsid w:val="00B80547"/>
    <w:rsid w:val="00B82EBE"/>
    <w:rsid w:val="00B85574"/>
    <w:rsid w:val="00B9314F"/>
    <w:rsid w:val="00B9616A"/>
    <w:rsid w:val="00BB61EA"/>
    <w:rsid w:val="00BD73F7"/>
    <w:rsid w:val="00BE4626"/>
    <w:rsid w:val="00BE4791"/>
    <w:rsid w:val="00C02240"/>
    <w:rsid w:val="00C0612F"/>
    <w:rsid w:val="00C32B09"/>
    <w:rsid w:val="00C41BDB"/>
    <w:rsid w:val="00C90E0E"/>
    <w:rsid w:val="00C96198"/>
    <w:rsid w:val="00CD1E86"/>
    <w:rsid w:val="00CD46FD"/>
    <w:rsid w:val="00CE58AB"/>
    <w:rsid w:val="00D03475"/>
    <w:rsid w:val="00D11FFF"/>
    <w:rsid w:val="00D14B70"/>
    <w:rsid w:val="00D4232A"/>
    <w:rsid w:val="00D54D2A"/>
    <w:rsid w:val="00D66254"/>
    <w:rsid w:val="00D67590"/>
    <w:rsid w:val="00D7643E"/>
    <w:rsid w:val="00D927EA"/>
    <w:rsid w:val="00D93396"/>
    <w:rsid w:val="00DB3115"/>
    <w:rsid w:val="00DF426C"/>
    <w:rsid w:val="00E00180"/>
    <w:rsid w:val="00E045BC"/>
    <w:rsid w:val="00E243E8"/>
    <w:rsid w:val="00E33657"/>
    <w:rsid w:val="00E410E9"/>
    <w:rsid w:val="00E44C36"/>
    <w:rsid w:val="00E6070C"/>
    <w:rsid w:val="00E72183"/>
    <w:rsid w:val="00E80744"/>
    <w:rsid w:val="00E81C09"/>
    <w:rsid w:val="00E87D5D"/>
    <w:rsid w:val="00EA76A3"/>
    <w:rsid w:val="00EB0545"/>
    <w:rsid w:val="00EB3ACF"/>
    <w:rsid w:val="00EC4E56"/>
    <w:rsid w:val="00EE4C8C"/>
    <w:rsid w:val="00EE5293"/>
    <w:rsid w:val="00EF43C4"/>
    <w:rsid w:val="00F1329E"/>
    <w:rsid w:val="00F16655"/>
    <w:rsid w:val="00F23B23"/>
    <w:rsid w:val="00F25B9F"/>
    <w:rsid w:val="00F51791"/>
    <w:rsid w:val="00F522C5"/>
    <w:rsid w:val="00F52807"/>
    <w:rsid w:val="00F54A7B"/>
    <w:rsid w:val="00F57FC0"/>
    <w:rsid w:val="00FA6695"/>
    <w:rsid w:val="00FA71C3"/>
    <w:rsid w:val="00FE2B88"/>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A29"/>
    <w:pPr>
      <w:suppressAutoHyphens/>
    </w:pPr>
    <w:rPr>
      <w:sz w:val="24"/>
      <w:szCs w:val="24"/>
      <w:lang w:val="en-GB" w:eastAsia="ar-SA"/>
    </w:rPr>
  </w:style>
  <w:style w:type="paragraph" w:styleId="Heading1">
    <w:name w:val="heading 1"/>
    <w:basedOn w:val="Normal"/>
    <w:next w:val="Normal"/>
    <w:link w:val="Heading1Char"/>
    <w:uiPriority w:val="99"/>
    <w:qFormat/>
    <w:rsid w:val="00551A29"/>
    <w:pPr>
      <w:keepNext/>
      <w:numPr>
        <w:numId w:val="1"/>
      </w:numPr>
      <w:ind w:right="43"/>
      <w:outlineLvl w:val="0"/>
    </w:pPr>
    <w:rPr>
      <w:rFonts w:ascii="Bookman Old Style" w:hAnsi="Bookman Old Style" w:cs="Bookman Old Style"/>
      <w:b/>
      <w:szCs w:val="20"/>
      <w:lang w:val="en-US"/>
    </w:rPr>
  </w:style>
  <w:style w:type="paragraph" w:styleId="Heading2">
    <w:name w:val="heading 2"/>
    <w:basedOn w:val="Normal"/>
    <w:next w:val="Normal"/>
    <w:link w:val="Heading2Char"/>
    <w:uiPriority w:val="99"/>
    <w:qFormat/>
    <w:rsid w:val="00551A29"/>
    <w:pPr>
      <w:keepNext/>
      <w:numPr>
        <w:ilvl w:val="1"/>
        <w:numId w:val="1"/>
      </w:numPr>
      <w:ind w:right="43"/>
      <w:outlineLvl w:val="1"/>
    </w:pPr>
    <w:rPr>
      <w:rFonts w:ascii="Bookman Old Style" w:hAnsi="Bookman Old Style" w:cs="Bookman Old Style"/>
      <w:b/>
      <w:sz w:val="20"/>
      <w:szCs w:val="20"/>
      <w:lang w:val="en-US"/>
    </w:rPr>
  </w:style>
  <w:style w:type="paragraph" w:styleId="Heading4">
    <w:name w:val="heading 4"/>
    <w:basedOn w:val="Normal"/>
    <w:next w:val="Normal"/>
    <w:link w:val="Heading4Char"/>
    <w:uiPriority w:val="99"/>
    <w:qFormat/>
    <w:rsid w:val="00551A29"/>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298C"/>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sid w:val="004E298C"/>
    <w:rPr>
      <w:rFonts w:ascii="Cambria" w:hAnsi="Cambria" w:cs="Times New Roman"/>
      <w:b/>
      <w:bCs/>
      <w:i/>
      <w:iCs/>
      <w:sz w:val="28"/>
      <w:szCs w:val="28"/>
      <w:lang w:val="en-GB" w:eastAsia="ar-SA" w:bidi="ar-SA"/>
    </w:rPr>
  </w:style>
  <w:style w:type="character" w:customStyle="1" w:styleId="Heading4Char">
    <w:name w:val="Heading 4 Char"/>
    <w:basedOn w:val="DefaultParagraphFont"/>
    <w:link w:val="Heading4"/>
    <w:uiPriority w:val="99"/>
    <w:semiHidden/>
    <w:locked/>
    <w:rsid w:val="004E298C"/>
    <w:rPr>
      <w:rFonts w:ascii="Calibri" w:hAnsi="Calibri" w:cs="Times New Roman"/>
      <w:b/>
      <w:bCs/>
      <w:sz w:val="28"/>
      <w:szCs w:val="28"/>
      <w:lang w:val="en-GB" w:eastAsia="ar-SA" w:bidi="ar-SA"/>
    </w:rPr>
  </w:style>
  <w:style w:type="character" w:customStyle="1" w:styleId="WW8Num1z0">
    <w:name w:val="WW8Num1z0"/>
    <w:uiPriority w:val="99"/>
    <w:rsid w:val="00551A29"/>
    <w:rPr>
      <w:rFonts w:ascii="Symbol" w:hAnsi="Symbol"/>
    </w:rPr>
  </w:style>
  <w:style w:type="character" w:customStyle="1" w:styleId="WW8Num1z1">
    <w:name w:val="WW8Num1z1"/>
    <w:uiPriority w:val="99"/>
    <w:rsid w:val="00551A29"/>
    <w:rPr>
      <w:rFonts w:ascii="Courier New" w:hAnsi="Courier New"/>
    </w:rPr>
  </w:style>
  <w:style w:type="character" w:customStyle="1" w:styleId="WW8Num1z2">
    <w:name w:val="WW8Num1z2"/>
    <w:uiPriority w:val="99"/>
    <w:rsid w:val="00551A29"/>
    <w:rPr>
      <w:rFonts w:ascii="Wingdings" w:hAnsi="Wingdings"/>
    </w:rPr>
  </w:style>
  <w:style w:type="character" w:customStyle="1" w:styleId="WW8Num3z0">
    <w:name w:val="WW8Num3z0"/>
    <w:uiPriority w:val="99"/>
    <w:rsid w:val="00551A29"/>
    <w:rPr>
      <w:rFonts w:ascii="Wingdings" w:hAnsi="Wingdings"/>
    </w:rPr>
  </w:style>
  <w:style w:type="character" w:customStyle="1" w:styleId="WW8Num4z0">
    <w:name w:val="WW8Num4z0"/>
    <w:uiPriority w:val="99"/>
    <w:rsid w:val="00551A29"/>
    <w:rPr>
      <w:rFonts w:ascii="Times New Roman" w:hAnsi="Times New Roman"/>
    </w:rPr>
  </w:style>
  <w:style w:type="character" w:customStyle="1" w:styleId="WW8Num4z1">
    <w:name w:val="WW8Num4z1"/>
    <w:uiPriority w:val="99"/>
    <w:rsid w:val="00551A29"/>
    <w:rPr>
      <w:rFonts w:ascii="Courier New" w:hAnsi="Courier New"/>
    </w:rPr>
  </w:style>
  <w:style w:type="character" w:customStyle="1" w:styleId="WW8Num4z2">
    <w:name w:val="WW8Num4z2"/>
    <w:uiPriority w:val="99"/>
    <w:rsid w:val="00551A29"/>
    <w:rPr>
      <w:rFonts w:ascii="Wingdings" w:hAnsi="Wingdings"/>
    </w:rPr>
  </w:style>
  <w:style w:type="character" w:customStyle="1" w:styleId="WW8Num4z3">
    <w:name w:val="WW8Num4z3"/>
    <w:uiPriority w:val="99"/>
    <w:rsid w:val="00551A29"/>
    <w:rPr>
      <w:rFonts w:ascii="Symbol" w:hAnsi="Symbol"/>
    </w:rPr>
  </w:style>
  <w:style w:type="character" w:customStyle="1" w:styleId="WW8Num5z0">
    <w:name w:val="WW8Num5z0"/>
    <w:uiPriority w:val="99"/>
    <w:rsid w:val="00551A29"/>
    <w:rPr>
      <w:rFonts w:ascii="Times New Roman" w:hAnsi="Times New Roman"/>
    </w:rPr>
  </w:style>
  <w:style w:type="character" w:customStyle="1" w:styleId="WW8Num5z1">
    <w:name w:val="WW8Num5z1"/>
    <w:uiPriority w:val="99"/>
    <w:rsid w:val="00551A29"/>
    <w:rPr>
      <w:rFonts w:ascii="Courier New" w:hAnsi="Courier New"/>
    </w:rPr>
  </w:style>
  <w:style w:type="character" w:customStyle="1" w:styleId="WW8Num5z2">
    <w:name w:val="WW8Num5z2"/>
    <w:uiPriority w:val="99"/>
    <w:rsid w:val="00551A29"/>
    <w:rPr>
      <w:rFonts w:ascii="Wingdings" w:hAnsi="Wingdings"/>
    </w:rPr>
  </w:style>
  <w:style w:type="character" w:customStyle="1" w:styleId="WW8Num5z3">
    <w:name w:val="WW8Num5z3"/>
    <w:uiPriority w:val="99"/>
    <w:rsid w:val="00551A29"/>
    <w:rPr>
      <w:rFonts w:ascii="Symbol" w:hAnsi="Symbol"/>
    </w:rPr>
  </w:style>
  <w:style w:type="character" w:customStyle="1" w:styleId="WW8Num6z0">
    <w:name w:val="WW8Num6z0"/>
    <w:uiPriority w:val="99"/>
    <w:rsid w:val="00551A29"/>
    <w:rPr>
      <w:rFonts w:ascii="Cambria" w:eastAsia="Batang" w:hAnsi="Cambria"/>
    </w:rPr>
  </w:style>
  <w:style w:type="character" w:customStyle="1" w:styleId="WW8Num6z1">
    <w:name w:val="WW8Num6z1"/>
    <w:uiPriority w:val="99"/>
    <w:rsid w:val="00551A29"/>
    <w:rPr>
      <w:rFonts w:ascii="Courier New" w:hAnsi="Courier New"/>
    </w:rPr>
  </w:style>
  <w:style w:type="character" w:customStyle="1" w:styleId="WW8Num6z2">
    <w:name w:val="WW8Num6z2"/>
    <w:uiPriority w:val="99"/>
    <w:rsid w:val="00551A29"/>
    <w:rPr>
      <w:rFonts w:ascii="Wingdings" w:hAnsi="Wingdings"/>
    </w:rPr>
  </w:style>
  <w:style w:type="character" w:customStyle="1" w:styleId="WW8Num6z3">
    <w:name w:val="WW8Num6z3"/>
    <w:uiPriority w:val="99"/>
    <w:rsid w:val="00551A29"/>
    <w:rPr>
      <w:rFonts w:ascii="Symbol" w:hAnsi="Symbol"/>
    </w:rPr>
  </w:style>
  <w:style w:type="character" w:customStyle="1" w:styleId="Fontdeparagrafimplicit1">
    <w:name w:val="Font de paragraf implicit1"/>
    <w:uiPriority w:val="99"/>
    <w:rsid w:val="00551A29"/>
  </w:style>
  <w:style w:type="character" w:customStyle="1" w:styleId="rezumat1">
    <w:name w:val="rezumat_1"/>
    <w:basedOn w:val="Fontdeparagrafimplicit1"/>
    <w:uiPriority w:val="99"/>
    <w:rsid w:val="00551A29"/>
    <w:rPr>
      <w:rFonts w:cs="Times New Roman"/>
    </w:rPr>
  </w:style>
  <w:style w:type="character" w:styleId="PageNumber">
    <w:name w:val="page number"/>
    <w:basedOn w:val="Fontdeparagrafimplicit1"/>
    <w:uiPriority w:val="99"/>
    <w:rsid w:val="00551A29"/>
    <w:rPr>
      <w:rFonts w:cs="Times New Roman"/>
    </w:rPr>
  </w:style>
  <w:style w:type="character" w:customStyle="1" w:styleId="CaracterCaracter1">
    <w:name w:val="Caracter Caracter1"/>
    <w:basedOn w:val="Fontdeparagrafimplicit1"/>
    <w:uiPriority w:val="99"/>
    <w:rsid w:val="00551A29"/>
    <w:rPr>
      <w:rFonts w:cs="Times New Roman"/>
      <w:sz w:val="24"/>
      <w:szCs w:val="24"/>
      <w:lang w:val="en-GB"/>
    </w:rPr>
  </w:style>
  <w:style w:type="character" w:customStyle="1" w:styleId="CaracterCaracter">
    <w:name w:val="Caracter Caracter"/>
    <w:basedOn w:val="Fontdeparagrafimplicit1"/>
    <w:uiPriority w:val="99"/>
    <w:rsid w:val="00551A29"/>
    <w:rPr>
      <w:rFonts w:ascii="Tahoma" w:hAnsi="Tahoma" w:cs="Tahoma"/>
      <w:sz w:val="16"/>
      <w:szCs w:val="16"/>
      <w:lang w:val="en-GB"/>
    </w:rPr>
  </w:style>
  <w:style w:type="character" w:styleId="Hyperlink">
    <w:name w:val="Hyperlink"/>
    <w:basedOn w:val="DefaultParagraphFont"/>
    <w:uiPriority w:val="99"/>
    <w:rsid w:val="00551A29"/>
    <w:rPr>
      <w:rFonts w:cs="Times New Roman"/>
      <w:color w:val="000080"/>
      <w:u w:val="single"/>
    </w:rPr>
  </w:style>
  <w:style w:type="paragraph" w:customStyle="1" w:styleId="Heading">
    <w:name w:val="Heading"/>
    <w:basedOn w:val="Normal"/>
    <w:next w:val="BodyText"/>
    <w:uiPriority w:val="99"/>
    <w:rsid w:val="00551A29"/>
    <w:pPr>
      <w:keepNext/>
      <w:spacing w:before="240" w:after="120"/>
    </w:pPr>
    <w:rPr>
      <w:rFonts w:ascii="Arial" w:hAnsi="Arial" w:cs="Mangal"/>
      <w:sz w:val="28"/>
      <w:szCs w:val="28"/>
    </w:rPr>
  </w:style>
  <w:style w:type="paragraph" w:styleId="BodyText">
    <w:name w:val="Body Text"/>
    <w:basedOn w:val="Normal"/>
    <w:link w:val="BodyTextChar"/>
    <w:uiPriority w:val="99"/>
    <w:rsid w:val="00551A29"/>
    <w:pPr>
      <w:jc w:val="center"/>
    </w:pPr>
    <w:rPr>
      <w:sz w:val="28"/>
      <w:lang w:val="en-US"/>
    </w:rPr>
  </w:style>
  <w:style w:type="character" w:customStyle="1" w:styleId="BodyTextChar">
    <w:name w:val="Body Text Char"/>
    <w:basedOn w:val="DefaultParagraphFont"/>
    <w:link w:val="BodyText"/>
    <w:uiPriority w:val="99"/>
    <w:semiHidden/>
    <w:locked/>
    <w:rsid w:val="004E298C"/>
    <w:rPr>
      <w:rFonts w:cs="Times New Roman"/>
      <w:sz w:val="24"/>
      <w:szCs w:val="24"/>
      <w:lang w:val="en-GB" w:eastAsia="ar-SA" w:bidi="ar-SA"/>
    </w:rPr>
  </w:style>
  <w:style w:type="paragraph" w:styleId="List">
    <w:name w:val="List"/>
    <w:basedOn w:val="BodyText"/>
    <w:uiPriority w:val="99"/>
    <w:rsid w:val="00551A29"/>
    <w:rPr>
      <w:rFonts w:cs="Mangal"/>
    </w:rPr>
  </w:style>
  <w:style w:type="paragraph" w:customStyle="1" w:styleId="Caption1">
    <w:name w:val="Caption1"/>
    <w:basedOn w:val="Normal"/>
    <w:uiPriority w:val="99"/>
    <w:rsid w:val="00551A29"/>
    <w:pPr>
      <w:suppressLineNumbers/>
      <w:spacing w:before="120" w:after="120"/>
    </w:pPr>
    <w:rPr>
      <w:rFonts w:cs="Mangal"/>
      <w:i/>
      <w:iCs/>
    </w:rPr>
  </w:style>
  <w:style w:type="paragraph" w:customStyle="1" w:styleId="Index">
    <w:name w:val="Index"/>
    <w:basedOn w:val="Normal"/>
    <w:uiPriority w:val="99"/>
    <w:rsid w:val="00551A29"/>
    <w:pPr>
      <w:suppressLineNumbers/>
    </w:pPr>
    <w:rPr>
      <w:rFonts w:cs="Mangal"/>
    </w:rPr>
  </w:style>
  <w:style w:type="paragraph" w:styleId="BodyTextIndent">
    <w:name w:val="Body Text Indent"/>
    <w:basedOn w:val="Normal"/>
    <w:link w:val="BodyTextIndentChar"/>
    <w:uiPriority w:val="99"/>
    <w:rsid w:val="00551A29"/>
    <w:pPr>
      <w:ind w:right="43" w:firstLine="993"/>
      <w:jc w:val="center"/>
    </w:pPr>
    <w:rPr>
      <w:rFonts w:ascii="Bookman Old Style" w:hAnsi="Bookman Old Style" w:cs="Bookman Old Style"/>
      <w:b/>
      <w:szCs w:val="20"/>
      <w:lang w:val="en-US"/>
    </w:rPr>
  </w:style>
  <w:style w:type="character" w:customStyle="1" w:styleId="BodyTextIndentChar">
    <w:name w:val="Body Text Indent Char"/>
    <w:basedOn w:val="DefaultParagraphFont"/>
    <w:link w:val="BodyTextIndent"/>
    <w:uiPriority w:val="99"/>
    <w:semiHidden/>
    <w:locked/>
    <w:rsid w:val="004E298C"/>
    <w:rPr>
      <w:rFonts w:cs="Times New Roman"/>
      <w:sz w:val="24"/>
      <w:szCs w:val="24"/>
      <w:lang w:val="en-GB" w:eastAsia="ar-SA" w:bidi="ar-SA"/>
    </w:rPr>
  </w:style>
  <w:style w:type="paragraph" w:customStyle="1" w:styleId="Indentcorptext22">
    <w:name w:val="Indent corp text 22"/>
    <w:basedOn w:val="Normal"/>
    <w:uiPriority w:val="99"/>
    <w:rsid w:val="00551A29"/>
    <w:pPr>
      <w:ind w:right="43" w:firstLine="993"/>
    </w:pPr>
    <w:rPr>
      <w:rFonts w:ascii="Bookman Old Style" w:hAnsi="Bookman Old Style" w:cs="Bookman Old Style"/>
      <w:b/>
      <w:szCs w:val="20"/>
      <w:lang w:val="en-US"/>
    </w:rPr>
  </w:style>
  <w:style w:type="paragraph" w:customStyle="1" w:styleId="Indentcorptext31">
    <w:name w:val="Indent corp text 31"/>
    <w:basedOn w:val="Normal"/>
    <w:uiPriority w:val="99"/>
    <w:rsid w:val="00551A29"/>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551A29"/>
    <w:pPr>
      <w:ind w:right="43" w:firstLine="993"/>
    </w:pPr>
    <w:rPr>
      <w:rFonts w:ascii="Bookman Old Style" w:hAnsi="Bookman Old Style" w:cs="Bookman Old Style"/>
      <w:b/>
      <w:szCs w:val="20"/>
      <w:lang w:val="en-US"/>
    </w:rPr>
  </w:style>
  <w:style w:type="paragraph" w:customStyle="1" w:styleId="BodyTextIndent21">
    <w:name w:val="Body Text Indent 21"/>
    <w:basedOn w:val="Normal"/>
    <w:uiPriority w:val="99"/>
    <w:rsid w:val="00551A29"/>
    <w:pPr>
      <w:ind w:right="43" w:firstLine="993"/>
    </w:pPr>
    <w:rPr>
      <w:rFonts w:ascii="Bookman Old Style" w:hAnsi="Bookman Old Style" w:cs="Bookman Old Style"/>
      <w:b/>
      <w:szCs w:val="20"/>
      <w:lang w:val="en-US"/>
    </w:rPr>
  </w:style>
  <w:style w:type="paragraph" w:styleId="Header">
    <w:name w:val="header"/>
    <w:basedOn w:val="Normal"/>
    <w:link w:val="HeaderChar"/>
    <w:uiPriority w:val="99"/>
    <w:rsid w:val="00551A29"/>
    <w:pPr>
      <w:tabs>
        <w:tab w:val="center" w:pos="4536"/>
        <w:tab w:val="right" w:pos="9072"/>
      </w:tabs>
    </w:pPr>
  </w:style>
  <w:style w:type="character" w:customStyle="1" w:styleId="HeaderChar">
    <w:name w:val="Header Char"/>
    <w:basedOn w:val="DefaultParagraphFont"/>
    <w:link w:val="Header"/>
    <w:uiPriority w:val="99"/>
    <w:semiHidden/>
    <w:locked/>
    <w:rsid w:val="004E298C"/>
    <w:rPr>
      <w:rFonts w:cs="Times New Roman"/>
      <w:sz w:val="24"/>
      <w:szCs w:val="24"/>
      <w:lang w:val="en-GB" w:eastAsia="ar-SA" w:bidi="ar-SA"/>
    </w:rPr>
  </w:style>
  <w:style w:type="paragraph" w:styleId="Footer">
    <w:name w:val="footer"/>
    <w:basedOn w:val="Normal"/>
    <w:link w:val="FooterChar"/>
    <w:uiPriority w:val="99"/>
    <w:rsid w:val="00551A29"/>
    <w:pPr>
      <w:tabs>
        <w:tab w:val="center" w:pos="4536"/>
        <w:tab w:val="right" w:pos="9072"/>
      </w:tabs>
    </w:pPr>
  </w:style>
  <w:style w:type="character" w:customStyle="1" w:styleId="FooterChar">
    <w:name w:val="Footer Char"/>
    <w:basedOn w:val="DefaultParagraphFont"/>
    <w:link w:val="Footer"/>
    <w:uiPriority w:val="99"/>
    <w:semiHidden/>
    <w:locked/>
    <w:rsid w:val="004E298C"/>
    <w:rPr>
      <w:rFonts w:cs="Times New Roman"/>
      <w:sz w:val="24"/>
      <w:szCs w:val="24"/>
      <w:lang w:val="en-GB" w:eastAsia="ar-SA" w:bidi="ar-SA"/>
    </w:rPr>
  </w:style>
  <w:style w:type="paragraph" w:customStyle="1" w:styleId="Corptext31">
    <w:name w:val="Corp text 31"/>
    <w:basedOn w:val="Normal"/>
    <w:uiPriority w:val="99"/>
    <w:rsid w:val="00551A29"/>
    <w:pPr>
      <w:spacing w:after="120"/>
    </w:pPr>
    <w:rPr>
      <w:sz w:val="16"/>
      <w:szCs w:val="16"/>
    </w:rPr>
  </w:style>
  <w:style w:type="paragraph" w:styleId="BalloonText">
    <w:name w:val="Balloon Text"/>
    <w:basedOn w:val="Normal"/>
    <w:link w:val="BalloonTextChar"/>
    <w:uiPriority w:val="99"/>
    <w:rsid w:val="00551A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98C"/>
    <w:rPr>
      <w:rFonts w:cs="Times New Roman"/>
      <w:sz w:val="2"/>
      <w:lang w:val="en-GB" w:eastAsia="ar-SA" w:bidi="ar-SA"/>
    </w:rPr>
  </w:style>
  <w:style w:type="paragraph" w:customStyle="1" w:styleId="WW-Default">
    <w:name w:val="WW-Default"/>
    <w:uiPriority w:val="99"/>
    <w:rsid w:val="00551A29"/>
    <w:pPr>
      <w:suppressAutoHyphens/>
      <w:autoSpaceDE w:val="0"/>
    </w:pPr>
    <w:rPr>
      <w:rFonts w:ascii="Calibri" w:hAnsi="Calibri" w:cs="Calibri"/>
      <w:color w:val="000000"/>
      <w:sz w:val="24"/>
      <w:szCs w:val="24"/>
      <w:lang w:eastAsia="ar-SA"/>
    </w:rPr>
  </w:style>
  <w:style w:type="paragraph" w:customStyle="1" w:styleId="Framecontents">
    <w:name w:val="Frame contents"/>
    <w:basedOn w:val="BodyText"/>
    <w:uiPriority w:val="99"/>
    <w:rsid w:val="00551A29"/>
  </w:style>
  <w:style w:type="paragraph" w:customStyle="1" w:styleId="TableContents">
    <w:name w:val="Table Contents"/>
    <w:basedOn w:val="Normal"/>
    <w:uiPriority w:val="99"/>
    <w:rsid w:val="00551A29"/>
    <w:pPr>
      <w:suppressLineNumbers/>
    </w:pPr>
  </w:style>
  <w:style w:type="paragraph" w:customStyle="1" w:styleId="TableHeading">
    <w:name w:val="Table Heading"/>
    <w:basedOn w:val="TableContents"/>
    <w:uiPriority w:val="99"/>
    <w:rsid w:val="00551A29"/>
    <w:pPr>
      <w:jc w:val="center"/>
    </w:pPr>
    <w:rPr>
      <w:b/>
      <w:bCs/>
    </w:rPr>
  </w:style>
  <w:style w:type="paragraph" w:customStyle="1" w:styleId="Default">
    <w:name w:val="Default"/>
    <w:rsid w:val="003420A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180B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5</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ROMANIA                                                                                      SE APROBA,</vt:lpstr>
    </vt:vector>
  </TitlesOfParts>
  <Company>pmt</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spopa</cp:lastModifiedBy>
  <cp:revision>48</cp:revision>
  <cp:lastPrinted>2018-01-23T13:47:00Z</cp:lastPrinted>
  <dcterms:created xsi:type="dcterms:W3CDTF">2017-09-05T06:02:00Z</dcterms:created>
  <dcterms:modified xsi:type="dcterms:W3CDTF">2018-01-29T12:11:00Z</dcterms:modified>
</cp:coreProperties>
</file>