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169" w14:textId="77777777" w:rsidR="00513917" w:rsidRPr="0032372A" w:rsidRDefault="00513917" w:rsidP="00513917">
      <w:pPr>
        <w:shd w:val="clear" w:color="auto" w:fill="FFFFFF"/>
        <w:rPr>
          <w:b/>
          <w:i/>
          <w:sz w:val="18"/>
        </w:rPr>
      </w:pPr>
      <w:r w:rsidRPr="0032372A">
        <w:rPr>
          <w:b/>
          <w:i/>
          <w:noProof/>
          <w:sz w:val="18"/>
        </w:rPr>
        <w:drawing>
          <wp:anchor distT="0" distB="0" distL="114300" distR="114300" simplePos="0" relativeHeight="251659264" behindDoc="1" locked="0" layoutInCell="1" allowOverlap="1" wp14:anchorId="5D553D31" wp14:editId="2A19685A">
            <wp:simplePos x="0" y="0"/>
            <wp:positionH relativeFrom="column">
              <wp:posOffset>4859020</wp:posOffset>
            </wp:positionH>
            <wp:positionV relativeFrom="paragraph">
              <wp:posOffset>76835</wp:posOffset>
            </wp:positionV>
            <wp:extent cx="829945" cy="1019175"/>
            <wp:effectExtent l="0" t="0" r="8255" b="9525"/>
            <wp:wrapTight wrapText="bothSides">
              <wp:wrapPolygon edited="0">
                <wp:start x="7437" y="0"/>
                <wp:lineTo x="0" y="807"/>
                <wp:lineTo x="0" y="15342"/>
                <wp:lineTo x="2975" y="19379"/>
                <wp:lineTo x="4958" y="19379"/>
                <wp:lineTo x="8924" y="21398"/>
                <wp:lineTo x="9420" y="21398"/>
                <wp:lineTo x="11899" y="21398"/>
                <wp:lineTo x="12395" y="21398"/>
                <wp:lineTo x="15865" y="19379"/>
                <wp:lineTo x="17849" y="19379"/>
                <wp:lineTo x="21319" y="15342"/>
                <wp:lineTo x="21319" y="807"/>
                <wp:lineTo x="13882" y="0"/>
                <wp:lineTo x="7437" y="0"/>
              </wp:wrapPolygon>
            </wp:wrapTight>
            <wp:docPr id="1" name="Picture 1" descr="politia locala 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a locala 20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994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BC51F96" wp14:editId="44597DA2">
            <wp:simplePos x="0" y="0"/>
            <wp:positionH relativeFrom="column">
              <wp:posOffset>5762625</wp:posOffset>
            </wp:positionH>
            <wp:positionV relativeFrom="paragraph">
              <wp:posOffset>76200</wp:posOffset>
            </wp:positionV>
            <wp:extent cx="914400" cy="979170"/>
            <wp:effectExtent l="0" t="0" r="0" b="0"/>
            <wp:wrapTight wrapText="bothSides">
              <wp:wrapPolygon edited="0">
                <wp:start x="0" y="0"/>
                <wp:lineTo x="0" y="21012"/>
                <wp:lineTo x="21150" y="21012"/>
                <wp:lineTo x="211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79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1F96B4" w14:textId="77777777" w:rsidR="00513917" w:rsidRPr="0032372A" w:rsidRDefault="00513917" w:rsidP="00513917">
      <w:pPr>
        <w:jc w:val="center"/>
        <w:rPr>
          <w:b/>
          <w:sz w:val="20"/>
        </w:rPr>
      </w:pPr>
      <w:r w:rsidRPr="0032372A">
        <w:rPr>
          <w:b/>
          <w:sz w:val="20"/>
        </w:rPr>
        <w:t>ROMÂNIA</w:t>
      </w:r>
    </w:p>
    <w:p w14:paraId="77E53BA6" w14:textId="77777777" w:rsidR="00513917" w:rsidRPr="0032372A" w:rsidRDefault="00513917" w:rsidP="00513917">
      <w:pPr>
        <w:jc w:val="center"/>
        <w:rPr>
          <w:b/>
          <w:sz w:val="20"/>
        </w:rPr>
      </w:pPr>
      <w:r w:rsidRPr="0032372A">
        <w:rPr>
          <w:b/>
          <w:sz w:val="20"/>
        </w:rPr>
        <w:t>CONSILIUL LOCAL AL MUNICIPIULUI TIMIŞOARA</w:t>
      </w:r>
    </w:p>
    <w:p w14:paraId="302E3B5A" w14:textId="77777777" w:rsidR="00513917" w:rsidRPr="0032372A" w:rsidRDefault="00513917" w:rsidP="00513917">
      <w:pPr>
        <w:jc w:val="center"/>
        <w:rPr>
          <w:b/>
          <w:sz w:val="20"/>
        </w:rPr>
      </w:pPr>
      <w:r w:rsidRPr="0032372A">
        <w:rPr>
          <w:b/>
          <w:sz w:val="20"/>
        </w:rPr>
        <w:t xml:space="preserve">DIRECŢIA </w:t>
      </w:r>
      <w:r>
        <w:rPr>
          <w:b/>
          <w:sz w:val="20"/>
        </w:rPr>
        <w:t>GENERAL</w:t>
      </w:r>
      <w:r>
        <w:rPr>
          <w:b/>
          <w:sz w:val="20"/>
          <w:lang w:val="ro-RO"/>
        </w:rPr>
        <w:t xml:space="preserve">Ă A </w:t>
      </w:r>
      <w:r w:rsidRPr="0032372A">
        <w:rPr>
          <w:b/>
          <w:sz w:val="20"/>
        </w:rPr>
        <w:t>POLIŢIEI LOCALE</w:t>
      </w:r>
    </w:p>
    <w:p w14:paraId="78A7C2D5" w14:textId="77777777" w:rsidR="00513917" w:rsidRPr="0032372A" w:rsidRDefault="00513917" w:rsidP="00513917">
      <w:pPr>
        <w:jc w:val="center"/>
        <w:rPr>
          <w:sz w:val="20"/>
        </w:rPr>
      </w:pPr>
      <w:r>
        <w:rPr>
          <w:b/>
          <w:i/>
          <w:noProof/>
          <w:sz w:val="18"/>
        </w:rPr>
        <w:drawing>
          <wp:anchor distT="0" distB="0" distL="114300" distR="114300" simplePos="0" relativeHeight="251660288" behindDoc="0" locked="0" layoutInCell="1" allowOverlap="1" wp14:anchorId="383575E9" wp14:editId="75F93F1D">
            <wp:simplePos x="1152525" y="1028700"/>
            <wp:positionH relativeFrom="margin">
              <wp:align>left</wp:align>
            </wp:positionH>
            <wp:positionV relativeFrom="margin">
              <wp:align>top</wp:align>
            </wp:positionV>
            <wp:extent cx="752475" cy="1140460"/>
            <wp:effectExtent l="0" t="0" r="952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_TM_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2475" cy="1140460"/>
                    </a:xfrm>
                    <a:prstGeom prst="rect">
                      <a:avLst/>
                    </a:prstGeom>
                  </pic:spPr>
                </pic:pic>
              </a:graphicData>
            </a:graphic>
          </wp:anchor>
        </w:drawing>
      </w:r>
      <w:r w:rsidRPr="0032372A">
        <w:rPr>
          <w:sz w:val="20"/>
        </w:rPr>
        <w:t xml:space="preserve">Număr operator de date cu caracter personal: </w:t>
      </w:r>
      <w:r w:rsidRPr="0032372A">
        <w:rPr>
          <w:b/>
          <w:sz w:val="20"/>
        </w:rPr>
        <w:t>5082</w:t>
      </w:r>
    </w:p>
    <w:p w14:paraId="56EA6F19" w14:textId="77777777" w:rsidR="00513917" w:rsidRPr="0032372A" w:rsidRDefault="00513917" w:rsidP="00513917">
      <w:pPr>
        <w:jc w:val="center"/>
        <w:rPr>
          <w:b/>
          <w:sz w:val="20"/>
        </w:rPr>
      </w:pPr>
      <w:r w:rsidRPr="0032372A">
        <w:rPr>
          <w:b/>
          <w:sz w:val="20"/>
        </w:rPr>
        <w:t xml:space="preserve">Str. Avram Imbroane, nr. 54, 300129 Timişoara; C.I.F. 27872311 </w:t>
      </w:r>
    </w:p>
    <w:p w14:paraId="7AB4E686" w14:textId="77777777" w:rsidR="00513917" w:rsidRDefault="00513917" w:rsidP="00513917">
      <w:pPr>
        <w:jc w:val="center"/>
        <w:rPr>
          <w:sz w:val="20"/>
          <w:lang w:val="fr-FR"/>
        </w:rPr>
      </w:pPr>
      <w:r w:rsidRPr="0032372A">
        <w:rPr>
          <w:sz w:val="20"/>
        </w:rPr>
        <w:t>Tel</w:t>
      </w:r>
      <w:r>
        <w:rPr>
          <w:sz w:val="20"/>
        </w:rPr>
        <w:t>.</w:t>
      </w:r>
      <w:r w:rsidRPr="0032372A">
        <w:rPr>
          <w:sz w:val="20"/>
        </w:rPr>
        <w:t>:</w:t>
      </w:r>
      <w:r w:rsidRPr="0032372A">
        <w:rPr>
          <w:b/>
          <w:sz w:val="20"/>
        </w:rPr>
        <w:t xml:space="preserve"> +40-256-</w:t>
      </w:r>
      <w:r>
        <w:rPr>
          <w:b/>
          <w:sz w:val="20"/>
        </w:rPr>
        <w:t>306.822</w:t>
      </w:r>
      <w:r w:rsidRPr="0032372A">
        <w:rPr>
          <w:b/>
          <w:sz w:val="20"/>
          <w:lang w:val="fr-FR"/>
        </w:rPr>
        <w:t xml:space="preserve">;  </w:t>
      </w:r>
      <w:r w:rsidRPr="00601B31">
        <w:rPr>
          <w:bCs/>
          <w:sz w:val="20"/>
          <w:lang w:val="fr-FR"/>
        </w:rPr>
        <w:t>Fax :</w:t>
      </w:r>
      <w:r>
        <w:rPr>
          <w:b/>
          <w:sz w:val="20"/>
          <w:lang w:val="fr-FR"/>
        </w:rPr>
        <w:t xml:space="preserve"> </w:t>
      </w:r>
      <w:r w:rsidRPr="00601B31">
        <w:rPr>
          <w:b/>
          <w:bCs/>
          <w:sz w:val="20"/>
          <w:lang w:val="fr-FR"/>
        </w:rPr>
        <w:t>0256-306.819</w:t>
      </w:r>
      <w:r>
        <w:rPr>
          <w:sz w:val="20"/>
          <w:lang w:val="fr-FR"/>
        </w:rPr>
        <w:t> ;</w:t>
      </w:r>
    </w:p>
    <w:p w14:paraId="08FC97B9" w14:textId="77777777" w:rsidR="00513917" w:rsidRPr="0032372A" w:rsidRDefault="00513917" w:rsidP="00513917">
      <w:pPr>
        <w:jc w:val="center"/>
        <w:rPr>
          <w:b/>
          <w:sz w:val="20"/>
          <w:lang w:val="fr-FR"/>
        </w:rPr>
      </w:pPr>
      <w:r w:rsidRPr="0032372A">
        <w:rPr>
          <w:sz w:val="20"/>
          <w:lang w:val="fr-FR"/>
        </w:rPr>
        <w:t>E-mail :</w:t>
      </w:r>
      <w:r w:rsidRPr="0032372A">
        <w:rPr>
          <w:b/>
          <w:sz w:val="20"/>
          <w:lang w:val="fr-FR"/>
        </w:rPr>
        <w:t xml:space="preserve"> contact@politialoctm.ro</w:t>
      </w:r>
      <w:r>
        <w:rPr>
          <w:b/>
          <w:color w:val="0000FF"/>
          <w:sz w:val="20"/>
          <w:lang w:val="fr-FR"/>
        </w:rPr>
        <w:t xml:space="preserve"> ; </w:t>
      </w:r>
      <w:r w:rsidRPr="0032372A">
        <w:rPr>
          <w:sz w:val="20"/>
          <w:lang w:val="fr-FR"/>
        </w:rPr>
        <w:t>Web :</w:t>
      </w:r>
      <w:r w:rsidRPr="0032372A">
        <w:rPr>
          <w:b/>
          <w:sz w:val="20"/>
          <w:lang w:val="fr-FR"/>
        </w:rPr>
        <w:t xml:space="preserve"> www.pol</w:t>
      </w:r>
      <w:r>
        <w:rPr>
          <w:b/>
          <w:sz w:val="20"/>
          <w:lang w:val="fr-FR"/>
        </w:rPr>
        <w:t>itialoctm</w:t>
      </w:r>
      <w:r w:rsidRPr="0032372A">
        <w:rPr>
          <w:b/>
          <w:sz w:val="20"/>
          <w:lang w:val="fr-FR"/>
        </w:rPr>
        <w:t xml:space="preserve">.ro </w:t>
      </w:r>
    </w:p>
    <w:p w14:paraId="456B12C5" w14:textId="77777777" w:rsidR="00C42932" w:rsidRPr="00513917" w:rsidRDefault="00C42932" w:rsidP="00675FFA">
      <w:pPr>
        <w:pBdr>
          <w:top w:val="threeDEmboss" w:sz="6" w:space="0" w:color="auto"/>
        </w:pBdr>
        <w:autoSpaceDE w:val="0"/>
        <w:autoSpaceDN w:val="0"/>
        <w:adjustRightInd w:val="0"/>
        <w:rPr>
          <w:rFonts w:eastAsia="Times New Roman"/>
          <w:sz w:val="12"/>
          <w:szCs w:val="12"/>
          <w:lang w:val="fr-FR" w:eastAsia="ro-RO"/>
        </w:rPr>
      </w:pPr>
    </w:p>
    <w:p w14:paraId="6B157C7E" w14:textId="04A316C9" w:rsidR="00C42932" w:rsidRPr="005B5ADE" w:rsidRDefault="00C42932">
      <w:pPr>
        <w:rPr>
          <w:szCs w:val="24"/>
        </w:rPr>
      </w:pPr>
      <w:r w:rsidRPr="005B5ADE">
        <w:rPr>
          <w:szCs w:val="24"/>
        </w:rPr>
        <w:t>Nr.</w:t>
      </w:r>
      <w:r w:rsidR="001F3DF3" w:rsidRPr="005B5ADE">
        <w:rPr>
          <w:szCs w:val="24"/>
        </w:rPr>
        <w:t xml:space="preserve"> </w:t>
      </w:r>
      <w:r w:rsidR="00560A29">
        <w:rPr>
          <w:szCs w:val="24"/>
        </w:rPr>
        <w:t>8215</w:t>
      </w:r>
      <w:r w:rsidR="001F3DF3" w:rsidRPr="005B5ADE">
        <w:rPr>
          <w:szCs w:val="24"/>
        </w:rPr>
        <w:t xml:space="preserve"> </w:t>
      </w:r>
      <w:r w:rsidRPr="005B5ADE">
        <w:rPr>
          <w:szCs w:val="24"/>
        </w:rPr>
        <w:t>din</w:t>
      </w:r>
      <w:r w:rsidR="001F3DF3" w:rsidRPr="005B5ADE">
        <w:rPr>
          <w:szCs w:val="24"/>
        </w:rPr>
        <w:t xml:space="preserve"> </w:t>
      </w:r>
      <w:r w:rsidR="00560A29">
        <w:rPr>
          <w:szCs w:val="24"/>
        </w:rPr>
        <w:t>18.08.2023</w:t>
      </w:r>
    </w:p>
    <w:p w14:paraId="23137E8A" w14:textId="77777777" w:rsidR="00C42932" w:rsidRPr="005B5ADE" w:rsidRDefault="00C42932">
      <w:pPr>
        <w:rPr>
          <w:szCs w:val="24"/>
        </w:rPr>
      </w:pPr>
    </w:p>
    <w:p w14:paraId="58B14BF4" w14:textId="77777777" w:rsidR="00C42932" w:rsidRPr="00396280" w:rsidRDefault="00C42932" w:rsidP="00C42932">
      <w:pPr>
        <w:jc w:val="center"/>
        <w:rPr>
          <w:b/>
          <w:szCs w:val="24"/>
          <w:lang w:val="ro-RO"/>
        </w:rPr>
      </w:pPr>
      <w:r w:rsidRPr="00396280">
        <w:rPr>
          <w:b/>
          <w:szCs w:val="24"/>
          <w:lang w:val="ro-RO"/>
        </w:rPr>
        <w:t>RAPORT DE SPECIALITATE</w:t>
      </w:r>
    </w:p>
    <w:p w14:paraId="24BBBA1E" w14:textId="77777777" w:rsidR="00C42932" w:rsidRPr="00396280" w:rsidRDefault="00C42932" w:rsidP="00C42932">
      <w:pPr>
        <w:jc w:val="center"/>
        <w:rPr>
          <w:b/>
          <w:szCs w:val="24"/>
          <w:lang w:val="ro-RO"/>
        </w:rPr>
      </w:pPr>
    </w:p>
    <w:p w14:paraId="0DD0F445" w14:textId="77777777" w:rsidR="005B5ADE" w:rsidRDefault="005B5ADE" w:rsidP="005B5ADE">
      <w:pPr>
        <w:jc w:val="center"/>
        <w:rPr>
          <w:b/>
          <w:szCs w:val="24"/>
          <w:lang w:val="ro-RO"/>
        </w:rPr>
      </w:pPr>
      <w:r>
        <w:rPr>
          <w:b/>
          <w:szCs w:val="24"/>
          <w:lang w:val="ro-RO"/>
        </w:rPr>
        <w:t xml:space="preserve">Privind modificarea Hotărârii nr. 536/2022 a Consiliului Local al Municipiului Timișoara referitoare la </w:t>
      </w:r>
      <w:r>
        <w:rPr>
          <w:rFonts w:cs="Times New Roman"/>
          <w:b/>
          <w:szCs w:val="24"/>
          <w:lang w:val="ro-RO"/>
        </w:rPr>
        <w:t>asigurarea pazei și protecției obiectivelor și a bunurilor de interes  public și privat aparținând Municipiului Timișoara, de către personalul contractual (guarzi) din cadrul Serviciului Pază Obiective a Direcției Generale a Poliției Locale Timișoara</w:t>
      </w:r>
    </w:p>
    <w:p w14:paraId="2437B5E3" w14:textId="77777777" w:rsidR="005B5ADE" w:rsidRDefault="005B5ADE" w:rsidP="005B5ADE">
      <w:pPr>
        <w:jc w:val="center"/>
        <w:rPr>
          <w:bCs/>
          <w:szCs w:val="24"/>
          <w:lang w:val="ro-RO"/>
        </w:rPr>
      </w:pPr>
    </w:p>
    <w:p w14:paraId="3421412D" w14:textId="77777777" w:rsidR="00C42932" w:rsidRPr="00396280" w:rsidRDefault="00C42932" w:rsidP="00C42932">
      <w:pPr>
        <w:jc w:val="center"/>
        <w:rPr>
          <w:bCs/>
          <w:szCs w:val="24"/>
          <w:lang w:val="ro-RO"/>
        </w:rPr>
      </w:pPr>
    </w:p>
    <w:p w14:paraId="7ACE3003" w14:textId="35D9A831" w:rsidR="00C42932" w:rsidRPr="00396280" w:rsidRDefault="00C42932" w:rsidP="00C42932">
      <w:pPr>
        <w:ind w:firstLine="720"/>
        <w:jc w:val="both"/>
        <w:rPr>
          <w:szCs w:val="24"/>
          <w:lang w:val="ro-RO"/>
        </w:rPr>
      </w:pPr>
      <w:r w:rsidRPr="00396280">
        <w:rPr>
          <w:szCs w:val="24"/>
          <w:lang w:val="ro-RO"/>
        </w:rPr>
        <w:t xml:space="preserve">Având în vedere Referatul de aprobare al proiectului de hotărâre al Primarului Municipiului Timișoara și Proiectul de hotărâre </w:t>
      </w:r>
      <w:r w:rsidRPr="00396280">
        <w:rPr>
          <w:bCs/>
          <w:color w:val="000000"/>
          <w:spacing w:val="-2"/>
          <w:szCs w:val="24"/>
          <w:lang w:val="pt-BR"/>
        </w:rPr>
        <w:t xml:space="preserve">privind </w:t>
      </w:r>
      <w:r w:rsidRPr="00396280">
        <w:rPr>
          <w:rFonts w:cs="Times New Roman"/>
          <w:bCs/>
          <w:szCs w:val="24"/>
          <w:lang w:val="ro-RO"/>
        </w:rPr>
        <w:t>asigurarea pazei și protecției obiectivelor și a bunurilor de interes  public și privat aparținând Municipiului Timișoara de către personalul contractual (guarzi) din cadrul Serviciului Pază Obiective a Direcției Generale a Poliției Locale Timișoara</w:t>
      </w:r>
      <w:r w:rsidRPr="00396280">
        <w:rPr>
          <w:szCs w:val="24"/>
          <w:lang w:val="ro-RO"/>
        </w:rPr>
        <w:t>,  prin care se propune stabilirea de către Consiliul Local al Municipiului Timișoara a obiectivelor administrației publice locale care vor fi asigurate cu pază de către Direcția Generală a Poliției Locale Timișoara,</w:t>
      </w:r>
    </w:p>
    <w:p w14:paraId="3B34C6D5" w14:textId="77777777" w:rsidR="00C42932" w:rsidRPr="00396280" w:rsidRDefault="00C42932" w:rsidP="00C42932">
      <w:pPr>
        <w:jc w:val="both"/>
        <w:rPr>
          <w:szCs w:val="24"/>
          <w:lang w:val="ro-RO"/>
        </w:rPr>
      </w:pPr>
    </w:p>
    <w:p w14:paraId="5314ED08" w14:textId="4F614E28" w:rsidR="00C42932" w:rsidRPr="00AC2792" w:rsidRDefault="00C42932" w:rsidP="00AC2792">
      <w:pPr>
        <w:ind w:firstLine="708"/>
        <w:jc w:val="both"/>
        <w:rPr>
          <w:b/>
          <w:bCs/>
          <w:szCs w:val="24"/>
          <w:lang w:val="ro-RO"/>
        </w:rPr>
      </w:pPr>
      <w:r w:rsidRPr="00AC2792">
        <w:rPr>
          <w:b/>
          <w:bCs/>
          <w:szCs w:val="24"/>
          <w:lang w:val="ro-RO"/>
        </w:rPr>
        <w:t>Facem următoarele precizări:</w:t>
      </w:r>
    </w:p>
    <w:p w14:paraId="63003C3B" w14:textId="77777777" w:rsidR="00C42932" w:rsidRPr="00396280" w:rsidRDefault="00C42932" w:rsidP="00C42932">
      <w:pPr>
        <w:jc w:val="both"/>
        <w:rPr>
          <w:szCs w:val="24"/>
          <w:lang w:val="ro-RO"/>
        </w:rPr>
      </w:pPr>
    </w:p>
    <w:p w14:paraId="57F89E3C" w14:textId="4BC2C3A8" w:rsidR="00C42932" w:rsidRPr="00396280" w:rsidRDefault="00C42932" w:rsidP="00C42932">
      <w:pPr>
        <w:ind w:firstLine="708"/>
        <w:jc w:val="both"/>
        <w:rPr>
          <w:rFonts w:eastAsiaTheme="minorEastAsia" w:cs="Times New Roman"/>
          <w:bCs/>
          <w:szCs w:val="24"/>
          <w:lang w:val="pt-BR"/>
        </w:rPr>
      </w:pPr>
      <w:r w:rsidRPr="00396280">
        <w:rPr>
          <w:szCs w:val="24"/>
          <w:lang w:val="pt-BR"/>
        </w:rPr>
        <w:t xml:space="preserve">În conformitate cu </w:t>
      </w:r>
      <w:r w:rsidRPr="00396280">
        <w:rPr>
          <w:rFonts w:eastAsiaTheme="minorEastAsia" w:cs="Times New Roman"/>
          <w:bCs/>
          <w:szCs w:val="24"/>
          <w:lang w:val="ro-RO"/>
        </w:rPr>
        <w:t>dispoziții</w:t>
      </w:r>
      <w:r w:rsidR="006226CB">
        <w:rPr>
          <w:rFonts w:eastAsiaTheme="minorEastAsia" w:cs="Times New Roman"/>
          <w:bCs/>
          <w:szCs w:val="24"/>
          <w:lang w:val="ro-RO"/>
        </w:rPr>
        <w:t>le</w:t>
      </w:r>
      <w:r w:rsidRPr="00396280">
        <w:rPr>
          <w:rFonts w:eastAsiaTheme="minorEastAsia" w:cs="Times New Roman"/>
          <w:bCs/>
          <w:szCs w:val="24"/>
          <w:lang w:val="ro-RO"/>
        </w:rPr>
        <w:t xml:space="preserve"> art. 6 lit. h) din Legea poliției locale nr. 155/2010, în domeniul pazei bunurilor, poliția locală</w:t>
      </w:r>
      <w:r w:rsidR="00A676A7">
        <w:rPr>
          <w:rFonts w:eastAsiaTheme="minorEastAsia" w:cs="Times New Roman"/>
          <w:bCs/>
          <w:szCs w:val="24"/>
          <w:lang w:val="ro-RO"/>
        </w:rPr>
        <w:t xml:space="preserve"> </w:t>
      </w:r>
      <w:r w:rsidRPr="00396280">
        <w:rPr>
          <w:rFonts w:eastAsiaTheme="minorEastAsia" w:cs="Times New Roman"/>
          <w:bCs/>
          <w:szCs w:val="24"/>
          <w:lang w:val="pt-BR"/>
        </w:rPr>
        <w:t>asigură paza bunurilor şi obiectivelor aflate în proprietatea unităţii/subdiviziunii administrativ-teritoriale şi/sau în administrarea autorităţilor administraţiei publice locale sau a altor servicii/instituţii publice de interes local, stabilite de consiliul local.</w:t>
      </w:r>
    </w:p>
    <w:p w14:paraId="77DB50F7" w14:textId="77777777" w:rsidR="00C42932" w:rsidRPr="00396280" w:rsidRDefault="00C42932" w:rsidP="00C42932">
      <w:pPr>
        <w:ind w:firstLine="708"/>
        <w:jc w:val="both"/>
        <w:rPr>
          <w:rFonts w:eastAsiaTheme="minorEastAsia" w:cs="Times New Roman"/>
          <w:bCs/>
          <w:szCs w:val="24"/>
          <w:lang w:val="ro-RO"/>
        </w:rPr>
      </w:pPr>
      <w:r w:rsidRPr="00396280">
        <w:rPr>
          <w:rFonts w:eastAsiaTheme="minorEastAsia" w:cs="Times New Roman"/>
          <w:bCs/>
          <w:szCs w:val="24"/>
          <w:lang w:val="ro-RO"/>
        </w:rPr>
        <w:t xml:space="preserve">Având în vedere că în perioada  2011 – 2016   Serviciului Pază Obiective, avea în componența sa un număr de  49 de agenți de pază (guarzi), prin hotărâri  a Consiliului Local a Municipiului Timișoara au fost stabilite și preluate în pază  de Direcția Poliției Locale Timișoara, un număr de 10 obiective. </w:t>
      </w:r>
    </w:p>
    <w:p w14:paraId="33BE0686" w14:textId="77777777" w:rsidR="00C42932" w:rsidRPr="00396280" w:rsidRDefault="00C42932" w:rsidP="00C42932">
      <w:pPr>
        <w:ind w:firstLine="708"/>
        <w:jc w:val="both"/>
        <w:rPr>
          <w:rFonts w:eastAsiaTheme="minorEastAsia" w:cs="Times New Roman"/>
          <w:bCs/>
          <w:szCs w:val="24"/>
          <w:lang w:val="ro-RO"/>
        </w:rPr>
      </w:pPr>
      <w:r w:rsidRPr="00396280">
        <w:rPr>
          <w:rFonts w:eastAsiaTheme="minorEastAsia" w:cs="Times New Roman"/>
          <w:bCs/>
          <w:szCs w:val="24"/>
          <w:lang w:val="ro-RO"/>
        </w:rPr>
        <w:t>Prin Hotărârea nr. 432/09.09.2019, Consiliul Local a Municipiului Timișoara a aprobat transformarea posturilor de 15 guarzi în funcții publice  specifice de polițist local, Serviciul  Pază Obiective rămânând cu 34  funcții  contractuale,  paza permanentă asigurându-se doar la o parte din aceste obiective.</w:t>
      </w:r>
    </w:p>
    <w:p w14:paraId="1C0D00A6" w14:textId="77777777" w:rsidR="00C42932" w:rsidRPr="00396280" w:rsidRDefault="00C42932" w:rsidP="00C42932">
      <w:pPr>
        <w:ind w:firstLine="708"/>
        <w:jc w:val="both"/>
        <w:rPr>
          <w:rFonts w:eastAsiaTheme="minorEastAsia" w:cs="Times New Roman"/>
          <w:bCs/>
          <w:szCs w:val="24"/>
          <w:lang w:val="ro-RO"/>
        </w:rPr>
      </w:pPr>
      <w:r w:rsidRPr="00396280">
        <w:rPr>
          <w:rFonts w:eastAsiaTheme="minorEastAsia" w:cs="Times New Roman"/>
          <w:bCs/>
          <w:szCs w:val="24"/>
          <w:lang w:val="ro-RO"/>
        </w:rPr>
        <w:t xml:space="preserve">Urmare a reorganizării instituției prin HCLTM nr. 368/26.07.2022 – privind aprobarea reorganizării, schimbarea denumirii instituției, modificarea și aprobarea Organigramei, Statului de funcții, Regulamentului de Organizare și Funcționare și aprobarea coeficienților de ierarhizare a posturilor pentru Direcția Poliției Locale Timișoara, Serviciul de Pază Obiective, are în componență un număr de 32 funcții de execuție (guarzi) din care 3 funcții vacante și asigură paza permanentă  la următoarele obiective a Municipiului Timișoara: </w:t>
      </w:r>
    </w:p>
    <w:p w14:paraId="39DE9C19" w14:textId="59B179AC" w:rsidR="00C42932" w:rsidRPr="00396280" w:rsidRDefault="00C42932" w:rsidP="00C42932">
      <w:pPr>
        <w:pStyle w:val="Listparagraf"/>
        <w:numPr>
          <w:ilvl w:val="0"/>
          <w:numId w:val="2"/>
        </w:numPr>
        <w:autoSpaceDE w:val="0"/>
        <w:autoSpaceDN w:val="0"/>
        <w:adjustRightInd w:val="0"/>
        <w:jc w:val="both"/>
        <w:rPr>
          <w:rFonts w:cs="Times New Roman"/>
          <w:szCs w:val="24"/>
          <w:lang w:val="it-IT"/>
        </w:rPr>
      </w:pPr>
      <w:r w:rsidRPr="00396280">
        <w:rPr>
          <w:rFonts w:cs="Times New Roman"/>
          <w:b/>
          <w:bCs/>
          <w:szCs w:val="24"/>
          <w:lang w:val="it-IT"/>
        </w:rPr>
        <w:t>Primăria Municipiului Timișoara</w:t>
      </w:r>
      <w:r w:rsidRPr="00396280">
        <w:rPr>
          <w:rFonts w:cs="Times New Roman"/>
          <w:szCs w:val="24"/>
          <w:lang w:val="it-IT"/>
        </w:rPr>
        <w:t xml:space="preserve">, </w:t>
      </w:r>
      <w:r w:rsidRPr="00396280">
        <w:rPr>
          <w:rFonts w:cs="Times New Roman"/>
          <w:bCs/>
          <w:szCs w:val="24"/>
          <w:lang w:val="it-IT"/>
        </w:rPr>
        <w:t>3 posturi de pază</w:t>
      </w:r>
      <w:r w:rsidRPr="00396280">
        <w:rPr>
          <w:rFonts w:cs="Times New Roman"/>
          <w:szCs w:val="24"/>
          <w:lang w:val="it-IT"/>
        </w:rPr>
        <w:t xml:space="preserve">, din care 1(unul)  permanent la 12 ore în ture de 12/24, respectiv, 12 /48  și </w:t>
      </w:r>
      <w:r w:rsidR="00266F0E">
        <w:rPr>
          <w:rFonts w:cs="Times New Roman"/>
          <w:szCs w:val="24"/>
          <w:lang w:val="it-IT"/>
        </w:rPr>
        <w:t>1</w:t>
      </w:r>
      <w:r w:rsidRPr="00396280">
        <w:rPr>
          <w:rFonts w:cs="Times New Roman"/>
          <w:szCs w:val="24"/>
          <w:lang w:val="it-IT"/>
        </w:rPr>
        <w:t xml:space="preserve"> post temporar la 8 ore pe timp de zi, cu un agent de securitate / post în intervalul orar 08,00 – 16,30, de L- J si V în intervalul 08,00-14,00, asigurat cu un numar de </w:t>
      </w:r>
      <w:r w:rsidR="00266F0E">
        <w:rPr>
          <w:rFonts w:cs="Times New Roman"/>
          <w:szCs w:val="24"/>
          <w:lang w:val="it-IT"/>
        </w:rPr>
        <w:t>9</w:t>
      </w:r>
      <w:r w:rsidRPr="00396280">
        <w:rPr>
          <w:rFonts w:cs="Times New Roman"/>
          <w:szCs w:val="24"/>
          <w:lang w:val="it-IT"/>
        </w:rPr>
        <w:t xml:space="preserve"> agenți de securitate  (guarzi)</w:t>
      </w:r>
      <w:r w:rsidR="00266F0E">
        <w:rPr>
          <w:rFonts w:cs="Times New Roman"/>
          <w:szCs w:val="24"/>
          <w:lang w:val="it-IT"/>
        </w:rPr>
        <w:t>. În cadrul PMT mai există un post asigurat de 1 polițist local, care asigură ordinea și liniștea publică la etajul I – acces conducere, în intervalul orar 08,00 – 16,30, de L-J și V în intervalul orar 08,00 – 14,00;</w:t>
      </w:r>
    </w:p>
    <w:p w14:paraId="2C1742F9" w14:textId="71D8AE09" w:rsidR="00C42932" w:rsidRPr="00396280" w:rsidRDefault="00C42932" w:rsidP="00C42932">
      <w:pPr>
        <w:pStyle w:val="Listparagraf"/>
        <w:numPr>
          <w:ilvl w:val="0"/>
          <w:numId w:val="2"/>
        </w:numPr>
        <w:ind w:right="63"/>
        <w:jc w:val="both"/>
        <w:rPr>
          <w:rFonts w:cs="Times New Roman"/>
          <w:szCs w:val="24"/>
          <w:lang w:val="it-IT"/>
        </w:rPr>
      </w:pPr>
      <w:r w:rsidRPr="00396280">
        <w:rPr>
          <w:rFonts w:cs="Times New Roman"/>
          <w:b/>
          <w:bCs/>
          <w:szCs w:val="24"/>
          <w:lang w:val="it-IT"/>
        </w:rPr>
        <w:t>Direcția Fiscală a Municipiului Timișoara</w:t>
      </w:r>
      <w:r w:rsidRPr="00396280">
        <w:rPr>
          <w:rFonts w:cs="Times New Roman"/>
          <w:szCs w:val="24"/>
          <w:lang w:val="it-IT"/>
        </w:rPr>
        <w:t xml:space="preserve">, </w:t>
      </w:r>
      <w:r w:rsidRPr="00396280">
        <w:rPr>
          <w:rFonts w:cs="Times New Roman"/>
          <w:bCs/>
          <w:szCs w:val="24"/>
          <w:lang w:val="it-IT"/>
        </w:rPr>
        <w:t>1(unul)  post de pază temporar</w:t>
      </w:r>
      <w:r w:rsidRPr="00396280">
        <w:rPr>
          <w:rFonts w:cs="Times New Roman"/>
          <w:szCs w:val="24"/>
          <w:lang w:val="it-IT"/>
        </w:rPr>
        <w:t xml:space="preserve"> cu un agent de securitate / post, pe timp de zi în intervalul orar 08,00 – 16,30, de L-J si V în intervalul orar 08,00-14,00, asigurat cu un numar de </w:t>
      </w:r>
      <w:r w:rsidR="00266F0E">
        <w:rPr>
          <w:rFonts w:cs="Times New Roman"/>
          <w:szCs w:val="24"/>
          <w:lang w:val="it-IT"/>
        </w:rPr>
        <w:t>2</w:t>
      </w:r>
      <w:r w:rsidRPr="00396280">
        <w:rPr>
          <w:rFonts w:cs="Times New Roman"/>
          <w:szCs w:val="24"/>
          <w:lang w:val="it-IT"/>
        </w:rPr>
        <w:t xml:space="preserve"> agenți de securitate  (guarzi)</w:t>
      </w:r>
      <w:r w:rsidR="00266F0E">
        <w:rPr>
          <w:rFonts w:cs="Times New Roman"/>
          <w:szCs w:val="24"/>
          <w:lang w:val="it-IT"/>
        </w:rPr>
        <w:t>;</w:t>
      </w:r>
    </w:p>
    <w:p w14:paraId="137126C6" w14:textId="2289950A" w:rsidR="00C42932" w:rsidRPr="00396280" w:rsidRDefault="00C42932" w:rsidP="00C42932">
      <w:pPr>
        <w:pStyle w:val="Listparagraf"/>
        <w:numPr>
          <w:ilvl w:val="0"/>
          <w:numId w:val="2"/>
        </w:numPr>
        <w:ind w:right="63"/>
        <w:jc w:val="both"/>
        <w:rPr>
          <w:rFonts w:cs="Times New Roman"/>
          <w:szCs w:val="24"/>
          <w:lang w:val="it-IT"/>
        </w:rPr>
      </w:pPr>
      <w:r w:rsidRPr="00396280">
        <w:rPr>
          <w:rFonts w:cs="Times New Roman"/>
          <w:szCs w:val="24"/>
          <w:lang w:val="it-IT"/>
        </w:rPr>
        <w:t xml:space="preserve"> </w:t>
      </w:r>
      <w:r w:rsidRPr="00396280">
        <w:rPr>
          <w:rFonts w:cs="Times New Roman"/>
          <w:b/>
          <w:bCs/>
          <w:szCs w:val="24"/>
          <w:lang w:val="it-IT"/>
        </w:rPr>
        <w:t>Direcția de Evidență a P</w:t>
      </w:r>
      <w:r w:rsidR="003109CC">
        <w:rPr>
          <w:rFonts w:cs="Times New Roman"/>
          <w:b/>
          <w:bCs/>
          <w:szCs w:val="24"/>
          <w:lang w:val="it-IT"/>
        </w:rPr>
        <w:t>ersoanelor Timișoara</w:t>
      </w:r>
      <w:r w:rsidRPr="00396280">
        <w:rPr>
          <w:rFonts w:cs="Times New Roman"/>
          <w:szCs w:val="24"/>
          <w:lang w:val="it-IT"/>
        </w:rPr>
        <w:t>,</w:t>
      </w:r>
      <w:r w:rsidRPr="00396280">
        <w:rPr>
          <w:rFonts w:cs="Times New Roman"/>
          <w:bCs/>
          <w:szCs w:val="24"/>
          <w:lang w:val="it-IT"/>
        </w:rPr>
        <w:t>1(unul) post de pază permanent,</w:t>
      </w:r>
      <w:r w:rsidRPr="00396280">
        <w:rPr>
          <w:rFonts w:cs="Times New Roman"/>
          <w:szCs w:val="24"/>
          <w:lang w:val="it-IT"/>
        </w:rPr>
        <w:t xml:space="preserve"> cu un agent de securitate / post la 12 ore în ture de 12/24, respectiv, 12 /48, asigurat cu un numar de </w:t>
      </w:r>
      <w:r w:rsidR="00266F0E">
        <w:rPr>
          <w:rFonts w:cs="Times New Roman"/>
          <w:szCs w:val="24"/>
          <w:lang w:val="it-IT"/>
        </w:rPr>
        <w:t xml:space="preserve">5 </w:t>
      </w:r>
      <w:r w:rsidRPr="00396280">
        <w:rPr>
          <w:rFonts w:cs="Times New Roman"/>
          <w:szCs w:val="24"/>
          <w:lang w:val="it-IT"/>
        </w:rPr>
        <w:t>agenți de securitate  (guarzi) .</w:t>
      </w:r>
    </w:p>
    <w:p w14:paraId="76E92503" w14:textId="68BE11BA" w:rsidR="00C42932" w:rsidRPr="00396280" w:rsidRDefault="00C42932" w:rsidP="00C42932">
      <w:pPr>
        <w:pStyle w:val="Listparagraf"/>
        <w:numPr>
          <w:ilvl w:val="0"/>
          <w:numId w:val="2"/>
        </w:numPr>
        <w:ind w:right="63"/>
        <w:jc w:val="both"/>
        <w:rPr>
          <w:rFonts w:cs="Times New Roman"/>
          <w:szCs w:val="24"/>
          <w:lang w:val="it-IT"/>
        </w:rPr>
      </w:pPr>
      <w:r w:rsidRPr="00396280">
        <w:rPr>
          <w:rFonts w:cs="Times New Roman"/>
          <w:b/>
          <w:bCs/>
          <w:szCs w:val="24"/>
          <w:lang w:val="it-IT"/>
        </w:rPr>
        <w:lastRenderedPageBreak/>
        <w:t>Direcția Generală a Poliției Locale Timișoara,</w:t>
      </w:r>
      <w:r w:rsidRPr="00396280">
        <w:rPr>
          <w:rFonts w:cs="Times New Roman"/>
          <w:szCs w:val="24"/>
          <w:lang w:val="it-IT"/>
        </w:rPr>
        <w:t xml:space="preserve"> </w:t>
      </w:r>
      <w:r w:rsidRPr="00396280">
        <w:rPr>
          <w:rFonts w:cs="Times New Roman"/>
          <w:b/>
          <w:szCs w:val="24"/>
          <w:lang w:val="it-IT"/>
        </w:rPr>
        <w:t>1 (unul)  post</w:t>
      </w:r>
      <w:r w:rsidRPr="00396280">
        <w:rPr>
          <w:rFonts w:cs="Times New Roman"/>
          <w:szCs w:val="24"/>
          <w:lang w:val="it-IT"/>
        </w:rPr>
        <w:t xml:space="preserve"> </w:t>
      </w:r>
      <w:r w:rsidRPr="00396280">
        <w:rPr>
          <w:rFonts w:cs="Times New Roman"/>
          <w:b/>
          <w:szCs w:val="24"/>
          <w:lang w:val="it-IT"/>
        </w:rPr>
        <w:t>de pază</w:t>
      </w:r>
      <w:r w:rsidRPr="00396280">
        <w:rPr>
          <w:rFonts w:cs="Times New Roman"/>
          <w:szCs w:val="24"/>
          <w:lang w:val="it-IT"/>
        </w:rPr>
        <w:t xml:space="preserve"> </w:t>
      </w:r>
      <w:r w:rsidRPr="00396280">
        <w:rPr>
          <w:rFonts w:cs="Times New Roman"/>
          <w:b/>
          <w:szCs w:val="24"/>
          <w:lang w:val="it-IT"/>
        </w:rPr>
        <w:t>permanen</w:t>
      </w:r>
      <w:r w:rsidRPr="00396280">
        <w:rPr>
          <w:rFonts w:cs="Times New Roman"/>
          <w:szCs w:val="24"/>
          <w:lang w:val="it-IT"/>
        </w:rPr>
        <w:t xml:space="preserve">t, cu un agent de securitate / post la 12 ore în ture de 12/24, respectiv, 12 /48, asigurat cu un numar de </w:t>
      </w:r>
      <w:r w:rsidR="00266F0E">
        <w:rPr>
          <w:rFonts w:cs="Times New Roman"/>
          <w:szCs w:val="24"/>
          <w:lang w:val="it-IT"/>
        </w:rPr>
        <w:t>5</w:t>
      </w:r>
      <w:r w:rsidRPr="00396280">
        <w:rPr>
          <w:rFonts w:cs="Times New Roman"/>
          <w:szCs w:val="24"/>
          <w:lang w:val="it-IT"/>
        </w:rPr>
        <w:t xml:space="preserve"> agenti de securitate  (guarzi) </w:t>
      </w:r>
    </w:p>
    <w:p w14:paraId="11879E2E" w14:textId="6A904D19" w:rsidR="00A676A7" w:rsidRPr="00266F0E" w:rsidRDefault="00C42932" w:rsidP="00266F0E">
      <w:pPr>
        <w:pStyle w:val="Listparagraf"/>
        <w:numPr>
          <w:ilvl w:val="0"/>
          <w:numId w:val="2"/>
        </w:numPr>
        <w:ind w:right="63"/>
        <w:jc w:val="both"/>
        <w:rPr>
          <w:rFonts w:cs="Times New Roman"/>
          <w:szCs w:val="24"/>
          <w:lang w:val="it-IT"/>
        </w:rPr>
      </w:pPr>
      <w:r w:rsidRPr="00396280">
        <w:rPr>
          <w:rFonts w:cs="Times New Roman"/>
          <w:b/>
          <w:bCs/>
          <w:szCs w:val="24"/>
          <w:lang w:val="it-IT"/>
        </w:rPr>
        <w:t xml:space="preserve">Centrul Social de Urgență pentru Persoane fără </w:t>
      </w:r>
      <w:r w:rsidRPr="004A08CB">
        <w:rPr>
          <w:rFonts w:cs="Times New Roman"/>
          <w:b/>
          <w:bCs/>
          <w:szCs w:val="24"/>
          <w:lang w:val="it-IT"/>
        </w:rPr>
        <w:t xml:space="preserve">Adapost </w:t>
      </w:r>
      <w:r w:rsidR="003109CC" w:rsidRPr="004A08CB">
        <w:rPr>
          <w:rFonts w:cs="Times New Roman"/>
          <w:b/>
          <w:bCs/>
          <w:szCs w:val="24"/>
          <w:lang w:val="it-IT"/>
        </w:rPr>
        <w:t xml:space="preserve"> cu Cantină Socială Timișoara</w:t>
      </w:r>
      <w:r w:rsidR="003109CC">
        <w:rPr>
          <w:rFonts w:cs="Times New Roman"/>
          <w:szCs w:val="24"/>
          <w:lang w:val="it-IT"/>
        </w:rPr>
        <w:t xml:space="preserve">, </w:t>
      </w:r>
      <w:r w:rsidRPr="00396280">
        <w:rPr>
          <w:rFonts w:cs="Times New Roman"/>
          <w:szCs w:val="24"/>
          <w:lang w:val="it-IT"/>
        </w:rPr>
        <w:t xml:space="preserve">prin HCL nr.336/31.07.2015, </w:t>
      </w:r>
      <w:r w:rsidRPr="00396280">
        <w:rPr>
          <w:rFonts w:cs="Times New Roman"/>
          <w:bCs/>
          <w:szCs w:val="24"/>
          <w:lang w:val="it-IT"/>
        </w:rPr>
        <w:t>1(unul) post de paza permanent,</w:t>
      </w:r>
      <w:r w:rsidRPr="00396280">
        <w:rPr>
          <w:rFonts w:cs="Times New Roman"/>
          <w:szCs w:val="24"/>
          <w:lang w:val="it-IT"/>
        </w:rPr>
        <w:t xml:space="preserve"> cu un agent de securitate / post la 12 ore în ture de 12/24, respectiv, 12 /48, asigurat cu un numar de </w:t>
      </w:r>
      <w:r w:rsidR="00266F0E">
        <w:rPr>
          <w:rFonts w:cs="Times New Roman"/>
          <w:szCs w:val="24"/>
          <w:lang w:val="it-IT"/>
        </w:rPr>
        <w:t xml:space="preserve">5 </w:t>
      </w:r>
      <w:r w:rsidRPr="00396280">
        <w:rPr>
          <w:rFonts w:cs="Times New Roman"/>
          <w:szCs w:val="24"/>
          <w:lang w:val="it-IT"/>
        </w:rPr>
        <w:t xml:space="preserve">agenți de securitate  (guarzi) </w:t>
      </w:r>
    </w:p>
    <w:p w14:paraId="0338A7EE" w14:textId="6B46F8CE" w:rsidR="00C42932" w:rsidRDefault="00C42932" w:rsidP="00C42932">
      <w:pPr>
        <w:pStyle w:val="Listparagraf"/>
        <w:numPr>
          <w:ilvl w:val="0"/>
          <w:numId w:val="2"/>
        </w:numPr>
        <w:ind w:right="63"/>
        <w:jc w:val="both"/>
        <w:rPr>
          <w:rFonts w:cs="Times New Roman"/>
          <w:szCs w:val="24"/>
          <w:lang w:val="it-IT"/>
        </w:rPr>
      </w:pPr>
      <w:r w:rsidRPr="00396280">
        <w:rPr>
          <w:rFonts w:cs="Times New Roman"/>
          <w:b/>
          <w:bCs/>
          <w:szCs w:val="24"/>
          <w:lang w:val="it-IT"/>
        </w:rPr>
        <w:t>INCUBOX</w:t>
      </w:r>
      <w:r w:rsidR="003109CC">
        <w:rPr>
          <w:rFonts w:cs="Times New Roman"/>
          <w:b/>
          <w:bCs/>
          <w:szCs w:val="24"/>
          <w:lang w:val="it-IT"/>
        </w:rPr>
        <w:t>X</w:t>
      </w:r>
      <w:r w:rsidRPr="00396280">
        <w:rPr>
          <w:rFonts w:cs="Times New Roman"/>
          <w:szCs w:val="24"/>
          <w:lang w:val="it-IT"/>
        </w:rPr>
        <w:t xml:space="preserve">, </w:t>
      </w:r>
      <w:r w:rsidRPr="00396280">
        <w:rPr>
          <w:rFonts w:cs="Times New Roman"/>
          <w:bCs/>
          <w:szCs w:val="24"/>
          <w:lang w:val="it-IT"/>
        </w:rPr>
        <w:t>1 (unul) post de pază permanent,</w:t>
      </w:r>
      <w:r w:rsidRPr="00396280">
        <w:rPr>
          <w:rFonts w:cs="Times New Roman"/>
          <w:szCs w:val="24"/>
          <w:lang w:val="it-IT"/>
        </w:rPr>
        <w:t xml:space="preserve"> cu un agent de securitate / post la 12 ore in ture de 12/24, respectiv, 12 /48, asigurat cu un număr de </w:t>
      </w:r>
      <w:r w:rsidR="00266F0E">
        <w:rPr>
          <w:rFonts w:cs="Times New Roman"/>
          <w:szCs w:val="24"/>
          <w:lang w:val="it-IT"/>
        </w:rPr>
        <w:t>5</w:t>
      </w:r>
      <w:r w:rsidRPr="00396280">
        <w:rPr>
          <w:rFonts w:cs="Times New Roman"/>
          <w:szCs w:val="24"/>
          <w:lang w:val="it-IT"/>
        </w:rPr>
        <w:t xml:space="preserve">  agenți de securitate  (guarzi).</w:t>
      </w:r>
    </w:p>
    <w:p w14:paraId="7B41B01D" w14:textId="7F641153" w:rsidR="00266F0E" w:rsidRPr="00266F0E" w:rsidRDefault="00266F0E" w:rsidP="00266F0E">
      <w:pPr>
        <w:ind w:right="63" w:firstLine="708"/>
        <w:jc w:val="both"/>
        <w:rPr>
          <w:rFonts w:cs="Times New Roman"/>
          <w:szCs w:val="24"/>
          <w:lang w:val="it-IT"/>
        </w:rPr>
      </w:pPr>
      <w:r w:rsidRPr="00266F0E">
        <w:rPr>
          <w:rFonts w:cs="Times New Roman"/>
          <w:szCs w:val="24"/>
          <w:lang w:val="it-IT"/>
        </w:rPr>
        <w:t>Obiectivele enumerate supra au fost aprobate prin Hotărârea nr. 536/2022 a Consiliului Local al Municipiului Timișoara</w:t>
      </w:r>
    </w:p>
    <w:p w14:paraId="420900AF" w14:textId="3C349CA6" w:rsidR="00B44E96" w:rsidRDefault="00B44E96" w:rsidP="00266F0E">
      <w:pPr>
        <w:ind w:firstLine="708"/>
        <w:jc w:val="both"/>
        <w:rPr>
          <w:rFonts w:eastAsiaTheme="minorEastAsia" w:cs="Times New Roman"/>
          <w:bCs/>
          <w:szCs w:val="24"/>
          <w:lang w:val="ro-RO"/>
        </w:rPr>
      </w:pPr>
      <w:r>
        <w:rPr>
          <w:rFonts w:eastAsiaTheme="minorEastAsia" w:cs="Times New Roman"/>
          <w:bCs/>
          <w:szCs w:val="24"/>
          <w:lang w:val="ro-RO"/>
        </w:rPr>
        <w:t xml:space="preserve">În ceea ce privește obiectivul 6 „INCUBOXX”, prin Hotărârea nr. </w:t>
      </w:r>
      <w:r w:rsidR="00BE7BBA">
        <w:rPr>
          <w:rFonts w:eastAsiaTheme="minorEastAsia" w:cs="Times New Roman"/>
          <w:bCs/>
          <w:szCs w:val="24"/>
          <w:lang w:val="ro-RO"/>
        </w:rPr>
        <w:t>601/2019 a Consiliului Local al Municipiului Timișoara a fost aprobat Regulamentul de Organizare și Funcționare pentru Serviciul Public de Administrare a Centrului Regional de Competențe și Dezvoltare a Furnizorilor în Sectorul Automotive – CERC (Regulamentul).</w:t>
      </w:r>
    </w:p>
    <w:p w14:paraId="6AF6E628" w14:textId="7CA5F5E9" w:rsidR="00BE7BBA" w:rsidRDefault="00BE7BBA" w:rsidP="00C42932">
      <w:pPr>
        <w:ind w:firstLine="708"/>
        <w:jc w:val="both"/>
        <w:rPr>
          <w:rFonts w:eastAsiaTheme="minorEastAsia" w:cs="Times New Roman"/>
          <w:bCs/>
          <w:szCs w:val="24"/>
          <w:lang w:val="ro-RO"/>
        </w:rPr>
      </w:pPr>
      <w:r>
        <w:rPr>
          <w:rFonts w:eastAsiaTheme="minorEastAsia" w:cs="Times New Roman"/>
          <w:bCs/>
          <w:szCs w:val="24"/>
          <w:lang w:val="ro-RO"/>
        </w:rPr>
        <w:t>Potrivit art. 13 alin. 1 din Regulament</w:t>
      </w:r>
      <w:r w:rsidR="00FE50EE">
        <w:rPr>
          <w:rFonts w:eastAsiaTheme="minorEastAsia" w:cs="Times New Roman"/>
          <w:bCs/>
          <w:szCs w:val="24"/>
          <w:lang w:val="ro-RO"/>
        </w:rPr>
        <w:t>, Departamentul Administrativ-IT „planifică, coordonează și controlează activitățile de pază, curățenie din cadrul CERC</w:t>
      </w:r>
      <w:r w:rsidR="002D3696">
        <w:rPr>
          <w:rFonts w:eastAsiaTheme="minorEastAsia" w:cs="Times New Roman"/>
          <w:bCs/>
          <w:szCs w:val="24"/>
          <w:lang w:val="ro-RO"/>
        </w:rPr>
        <w:t>”, iar potrivit art. 17 alin. 2 din Regulament „cheltuielile de exploatare a infrastructurii includ (fără a se limita la): cheltuieli servicii de protecție și pază”.</w:t>
      </w:r>
    </w:p>
    <w:p w14:paraId="4440FB07" w14:textId="6B4611FE" w:rsidR="002D3696" w:rsidRDefault="002D3696" w:rsidP="00C42932">
      <w:pPr>
        <w:ind w:firstLine="708"/>
        <w:jc w:val="both"/>
        <w:rPr>
          <w:rFonts w:eastAsiaTheme="minorEastAsia" w:cs="Times New Roman"/>
          <w:bCs/>
          <w:szCs w:val="24"/>
          <w:lang w:val="ro-RO"/>
        </w:rPr>
      </w:pPr>
      <w:r>
        <w:rPr>
          <w:rFonts w:eastAsiaTheme="minorEastAsia" w:cs="Times New Roman"/>
          <w:bCs/>
          <w:szCs w:val="24"/>
          <w:lang w:val="ro-RO"/>
        </w:rPr>
        <w:t>Prin Hotărârea nr. 123/2023 a Consiliului Local al Municipiului Timișoara, imobilul denumit generic „INCUBOXX” a fost dat în administrarea Serviciului Public de Administrare a Centrului Regional de Competențe și Dezvoltare a Furnizorilor în Sectorul Automotive – CERC.</w:t>
      </w:r>
    </w:p>
    <w:p w14:paraId="333D92D9" w14:textId="462657BE" w:rsidR="002D3696" w:rsidRPr="00B44E96" w:rsidRDefault="002D3696" w:rsidP="00C42932">
      <w:pPr>
        <w:ind w:firstLine="708"/>
        <w:jc w:val="both"/>
        <w:rPr>
          <w:rFonts w:eastAsiaTheme="minorEastAsia" w:cs="Times New Roman"/>
          <w:bCs/>
          <w:szCs w:val="24"/>
          <w:lang w:val="ro-RO"/>
        </w:rPr>
      </w:pPr>
      <w:r>
        <w:rPr>
          <w:rFonts w:eastAsiaTheme="minorEastAsia" w:cs="Times New Roman"/>
          <w:bCs/>
          <w:szCs w:val="24"/>
          <w:lang w:val="ro-RO"/>
        </w:rPr>
        <w:t>Prin urmare, toate atribuțiile stabilite prin Regulament, inclusiv cea referitoare la pază se aplică și asupra imobilului dat în administrare către CERC.</w:t>
      </w:r>
    </w:p>
    <w:p w14:paraId="2F8F07AA" w14:textId="043C2165" w:rsidR="00C42932" w:rsidRDefault="002D3696" w:rsidP="00C42932">
      <w:pPr>
        <w:ind w:firstLine="708"/>
        <w:jc w:val="both"/>
        <w:rPr>
          <w:rFonts w:eastAsiaTheme="minorEastAsia" w:cs="Times New Roman"/>
          <w:bCs/>
          <w:szCs w:val="24"/>
          <w:lang w:val="ro-RO"/>
        </w:rPr>
      </w:pPr>
      <w:r>
        <w:rPr>
          <w:rFonts w:eastAsiaTheme="minorEastAsia" w:cs="Times New Roman"/>
          <w:b/>
          <w:szCs w:val="24"/>
          <w:lang w:val="ro-RO"/>
        </w:rPr>
        <w:t>De asemenea, precizăm că</w:t>
      </w:r>
      <w:r w:rsidR="00C42932" w:rsidRPr="00396280">
        <w:rPr>
          <w:rFonts w:eastAsiaTheme="minorEastAsia" w:cs="Times New Roman"/>
          <w:bCs/>
          <w:szCs w:val="24"/>
          <w:lang w:val="ro-RO"/>
        </w:rPr>
        <w:t xml:space="preserve">, pentru un post de pază permanent este necesar un număr de 5 agenți de securitate (guarzi) pentru  a asigura paza  24 din 24 întrucât, agenții de securitate (guarzii) trebuie repartizați pe ture 12/24 și 12/48  doar astfel  putându-se realiza  un raport eficient între calitate și serviciul prestat cât și un echilibru între riscurile asumate și beneficiile obținute. Numărul de 32 agenți de securitate (guarzi) din componența Serviciului Pază Obiective din cadrul Direcției Generale a Poliției Locale Timișoara permite asigurarea pazei  doar la un număr de </w:t>
      </w:r>
      <w:r w:rsidR="00B44E96">
        <w:rPr>
          <w:rFonts w:eastAsiaTheme="minorEastAsia" w:cs="Times New Roman"/>
          <w:bCs/>
          <w:szCs w:val="24"/>
          <w:lang w:val="ro-RO"/>
        </w:rPr>
        <w:t>5</w:t>
      </w:r>
      <w:r w:rsidR="00C42932" w:rsidRPr="00396280">
        <w:rPr>
          <w:rFonts w:eastAsiaTheme="minorEastAsia" w:cs="Times New Roman"/>
          <w:bCs/>
          <w:szCs w:val="24"/>
          <w:lang w:val="ro-RO"/>
        </w:rPr>
        <w:t xml:space="preserve"> obiective în regim permanent și temporar pe timpul programului de lucru cu publicul. În aceste circumstanțe se impune </w:t>
      </w:r>
      <w:r w:rsidR="00921C28">
        <w:rPr>
          <w:rFonts w:eastAsiaTheme="minorEastAsia" w:cs="Times New Roman"/>
          <w:bCs/>
          <w:szCs w:val="24"/>
          <w:lang w:val="ro-RO"/>
        </w:rPr>
        <w:t xml:space="preserve">modificarea Hotărârii nr. 536/2022 a Consiliului Local al Municipiului Timișoara privind </w:t>
      </w:r>
      <w:r w:rsidR="00921C28" w:rsidRPr="00921C28">
        <w:rPr>
          <w:rFonts w:cs="Times New Roman"/>
          <w:bCs/>
          <w:szCs w:val="24"/>
          <w:lang w:val="ro-RO"/>
        </w:rPr>
        <w:t>asigurarea pazei și protecției obiectivelor și a bunurilor de interes  public și privat aparținând Municipiului Timișoara, de către personalul contractual (guarzi) din cadrul Serviciului Pază Obiective a Direcției Generale a Poliției Locale Timișoara</w:t>
      </w:r>
      <w:r w:rsidR="00C42932" w:rsidRPr="00921C28">
        <w:rPr>
          <w:rFonts w:eastAsiaTheme="minorEastAsia" w:cs="Times New Roman"/>
          <w:bCs/>
          <w:szCs w:val="24"/>
          <w:lang w:val="ro-RO"/>
        </w:rPr>
        <w:t>.</w:t>
      </w:r>
    </w:p>
    <w:p w14:paraId="1E02B599" w14:textId="5AD9E58D" w:rsidR="00921C28" w:rsidRDefault="00921C28" w:rsidP="00C42932">
      <w:pPr>
        <w:ind w:firstLine="708"/>
        <w:jc w:val="both"/>
        <w:rPr>
          <w:rFonts w:eastAsiaTheme="minorEastAsia" w:cs="Times New Roman"/>
          <w:bCs/>
          <w:szCs w:val="24"/>
          <w:lang w:val="ro-RO"/>
        </w:rPr>
      </w:pPr>
      <w:r>
        <w:rPr>
          <w:rFonts w:eastAsiaTheme="minorEastAsia" w:cs="Times New Roman"/>
          <w:bCs/>
          <w:szCs w:val="24"/>
          <w:lang w:val="ro-RO"/>
        </w:rPr>
        <w:t>Consecințele desfășurării activității de pază asupra obiectivelor stabilite prin Hotărârea nr. 536/2022 a Consiliului Local al Municipiului Timișoara, se manifestă prin creșterea numărului de ore suplimentare, imposibilitatea acordării concediilor de odihnă astfel cum au fost planificate și creșterea numărului concediilor medicale.</w:t>
      </w:r>
    </w:p>
    <w:p w14:paraId="6C0E2FB9" w14:textId="3489B8B6" w:rsidR="00921C28" w:rsidRPr="00921C28" w:rsidRDefault="00921C28" w:rsidP="00C42932">
      <w:pPr>
        <w:ind w:firstLine="708"/>
        <w:jc w:val="both"/>
        <w:rPr>
          <w:rFonts w:eastAsiaTheme="minorEastAsia" w:cs="Times New Roman"/>
          <w:bCs/>
          <w:szCs w:val="24"/>
          <w:lang w:val="ro-RO"/>
        </w:rPr>
      </w:pPr>
      <w:r>
        <w:rPr>
          <w:rFonts w:eastAsiaTheme="minorEastAsia" w:cs="Times New Roman"/>
          <w:bCs/>
          <w:szCs w:val="24"/>
          <w:lang w:val="ro-RO"/>
        </w:rPr>
        <w:t>Mai mult, pentru obiectivul „INCUBOXX”, sarcina activității de pază revine CERC, astfel cum a fost stabilit prin Regulamentul aprobat prin Hotărârea nr. 601/2019 a Consiliului Local al Municipiului Timișoara.</w:t>
      </w:r>
    </w:p>
    <w:p w14:paraId="156DAA0B" w14:textId="220516CA" w:rsidR="00AC2792" w:rsidRDefault="00C42932" w:rsidP="00C42932">
      <w:pPr>
        <w:ind w:firstLine="708"/>
        <w:jc w:val="both"/>
        <w:rPr>
          <w:rFonts w:eastAsiaTheme="minorEastAsia" w:cs="Times New Roman"/>
          <w:bCs/>
          <w:szCs w:val="24"/>
          <w:lang w:val="ro-RO"/>
        </w:rPr>
      </w:pPr>
      <w:r w:rsidRPr="00AC2792">
        <w:rPr>
          <w:rFonts w:eastAsiaTheme="minorEastAsia" w:cs="Times New Roman"/>
          <w:b/>
          <w:szCs w:val="24"/>
          <w:lang w:val="ro-RO"/>
        </w:rPr>
        <w:t xml:space="preserve">În </w:t>
      </w:r>
      <w:r w:rsidR="00AC2792" w:rsidRPr="00AC2792">
        <w:rPr>
          <w:rFonts w:eastAsiaTheme="minorEastAsia" w:cs="Times New Roman"/>
          <w:b/>
          <w:szCs w:val="24"/>
          <w:lang w:val="ro-RO"/>
        </w:rPr>
        <w:t>concluzie</w:t>
      </w:r>
      <w:r w:rsidRPr="00396280">
        <w:rPr>
          <w:rFonts w:eastAsiaTheme="minorEastAsia" w:cs="Times New Roman"/>
          <w:bCs/>
          <w:szCs w:val="24"/>
          <w:lang w:val="ro-RO"/>
        </w:rPr>
        <w:t xml:space="preserve">, raportat la  numărul actual de agenți de securitate (32 guarzi)  propunem </w:t>
      </w:r>
      <w:r w:rsidR="00921C28">
        <w:rPr>
          <w:rFonts w:eastAsiaTheme="minorEastAsia" w:cs="Times New Roman"/>
          <w:bCs/>
          <w:szCs w:val="24"/>
          <w:lang w:val="ro-RO"/>
        </w:rPr>
        <w:t xml:space="preserve">modificarea Hotărârii nr. 536/2022 a Consiliului Local al Municipiului Timișoara în sensul eliminării obiectivului de pază nr. </w:t>
      </w:r>
      <w:r w:rsidR="00373D5A">
        <w:rPr>
          <w:rFonts w:eastAsiaTheme="minorEastAsia" w:cs="Times New Roman"/>
          <w:bCs/>
          <w:szCs w:val="24"/>
          <w:lang w:val="ro-RO"/>
        </w:rPr>
        <w:t>6</w:t>
      </w:r>
      <w:r w:rsidR="00921C28">
        <w:rPr>
          <w:rFonts w:eastAsiaTheme="minorEastAsia" w:cs="Times New Roman"/>
          <w:bCs/>
          <w:szCs w:val="24"/>
          <w:lang w:val="ro-RO"/>
        </w:rPr>
        <w:t xml:space="preserve"> „INCUBOXX”</w:t>
      </w:r>
      <w:r w:rsidR="00AC2792">
        <w:rPr>
          <w:rFonts w:eastAsiaTheme="minorEastAsia" w:cs="Times New Roman"/>
          <w:bCs/>
          <w:szCs w:val="24"/>
          <w:lang w:val="ro-RO"/>
        </w:rPr>
        <w:t xml:space="preserve">. </w:t>
      </w:r>
    </w:p>
    <w:p w14:paraId="023369EA" w14:textId="77777777" w:rsidR="00AC2792" w:rsidRPr="00AC2792" w:rsidRDefault="00AC2792" w:rsidP="00AC2792">
      <w:pPr>
        <w:pStyle w:val="Listparagraf"/>
        <w:ind w:left="1068"/>
        <w:jc w:val="both"/>
        <w:rPr>
          <w:rFonts w:eastAsiaTheme="minorEastAsia" w:cs="Times New Roman"/>
          <w:bCs/>
          <w:szCs w:val="24"/>
          <w:lang w:val="ro-RO"/>
        </w:rPr>
      </w:pPr>
    </w:p>
    <w:p w14:paraId="63B993E5" w14:textId="57863C50" w:rsidR="00C42932" w:rsidRPr="00396280" w:rsidRDefault="00C42932" w:rsidP="00396280">
      <w:pPr>
        <w:jc w:val="both"/>
        <w:rPr>
          <w:b/>
          <w:szCs w:val="24"/>
          <w:lang w:val="ro-RO"/>
        </w:rPr>
      </w:pPr>
      <w:r w:rsidRPr="00C42932">
        <w:rPr>
          <w:lang w:val="pt-BR"/>
        </w:rPr>
        <w:tab/>
        <w:t>Având în vedere prevederile legale expuse în prezentul raport, aprecie</w:t>
      </w:r>
      <w:r w:rsidR="00921C28">
        <w:rPr>
          <w:lang w:val="pt-BR"/>
        </w:rPr>
        <w:t>m</w:t>
      </w:r>
      <w:r w:rsidRPr="00C42932">
        <w:rPr>
          <w:lang w:val="pt-BR"/>
        </w:rPr>
        <w:t xml:space="preserve"> că proiectul de hotărâre privind</w:t>
      </w:r>
      <w:r w:rsidR="00921C28">
        <w:rPr>
          <w:lang w:val="pt-BR"/>
        </w:rPr>
        <w:t xml:space="preserve"> modificarea Hotărârii nr. 536/2022 a Consiliului Local al Municipiului Timișoara</w:t>
      </w:r>
      <w:r w:rsidRPr="00C42932">
        <w:rPr>
          <w:lang w:val="pt-BR"/>
        </w:rPr>
        <w:t xml:space="preserve"> </w:t>
      </w:r>
      <w:r w:rsidR="00396280" w:rsidRPr="00396280">
        <w:rPr>
          <w:b/>
          <w:szCs w:val="24"/>
          <w:lang w:val="ro-RO"/>
        </w:rPr>
        <w:t xml:space="preserve"> </w:t>
      </w:r>
      <w:r w:rsidRPr="00C42932">
        <w:rPr>
          <w:lang w:val="pt-BR"/>
        </w:rPr>
        <w:t xml:space="preserve">îndeplinește  condițiile pentru a fi supus dezbaterii și aprobării plenului consiliului local. </w:t>
      </w:r>
    </w:p>
    <w:p w14:paraId="0014B18F" w14:textId="1BE413C6" w:rsidR="00C42932" w:rsidRPr="00C42932" w:rsidRDefault="00C42932" w:rsidP="00C42932">
      <w:pPr>
        <w:jc w:val="both"/>
        <w:rPr>
          <w:lang w:val="pt-BR"/>
        </w:rPr>
      </w:pPr>
      <w:r w:rsidRPr="00C42932">
        <w:rPr>
          <w:i/>
          <w:lang w:val="pt-BR"/>
        </w:rPr>
        <w:t xml:space="preserve"> </w:t>
      </w:r>
    </w:p>
    <w:p w14:paraId="6B6C7EC0" w14:textId="6985AA8B" w:rsidR="00C42932" w:rsidRDefault="00AC2792" w:rsidP="00C42932">
      <w:pPr>
        <w:jc w:val="both"/>
        <w:rPr>
          <w:b/>
          <w:lang w:val="pt-BR"/>
        </w:rPr>
      </w:pPr>
      <w:r>
        <w:rPr>
          <w:b/>
          <w:lang w:val="pt-BR"/>
        </w:rPr>
        <w:tab/>
        <w:t xml:space="preserve"> DIRECTOR GENERAL </w:t>
      </w:r>
    </w:p>
    <w:p w14:paraId="7CA27326" w14:textId="602DFE85" w:rsidR="00AC2792" w:rsidRDefault="00AC2792" w:rsidP="00C42932">
      <w:pPr>
        <w:jc w:val="both"/>
        <w:rPr>
          <w:b/>
          <w:lang w:val="pt-BR"/>
        </w:rPr>
      </w:pPr>
      <w:r>
        <w:rPr>
          <w:b/>
          <w:lang w:val="pt-BR"/>
        </w:rPr>
        <w:tab/>
        <w:t xml:space="preserve">   ATTILA HAJDU</w:t>
      </w:r>
    </w:p>
    <w:p w14:paraId="4EC7361A" w14:textId="4B7368D3" w:rsidR="00AC2792" w:rsidRDefault="00AC2792" w:rsidP="00C42932">
      <w:pPr>
        <w:jc w:val="both"/>
        <w:rPr>
          <w:b/>
          <w:lang w:val="pt-BR"/>
        </w:rPr>
      </w:pPr>
    </w:p>
    <w:p w14:paraId="25893747" w14:textId="783FF1FD" w:rsidR="00AC2792" w:rsidRDefault="00AC2792" w:rsidP="00C42932">
      <w:pPr>
        <w:jc w:val="both"/>
        <w:rPr>
          <w:b/>
          <w:lang w:val="pt-BR"/>
        </w:rPr>
      </w:pPr>
      <w:r>
        <w:rPr>
          <w:b/>
          <w:lang w:val="pt-BR"/>
        </w:rPr>
        <w:t xml:space="preserve">                                                                                           SEF SERVICIU PAZĂ OBIECTIVE</w:t>
      </w:r>
    </w:p>
    <w:p w14:paraId="4833783C" w14:textId="5385BC7A" w:rsidR="00AC2792" w:rsidRDefault="00AC2792" w:rsidP="00C42932">
      <w:pPr>
        <w:jc w:val="both"/>
        <w:rPr>
          <w:b/>
          <w:lang w:val="pt-BR"/>
        </w:rPr>
      </w:pP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t xml:space="preserve"> ION </w:t>
      </w:r>
      <w:r w:rsidR="00455C54">
        <w:rPr>
          <w:b/>
          <w:lang w:val="pt-BR"/>
        </w:rPr>
        <w:t>TOMA</w:t>
      </w:r>
    </w:p>
    <w:p w14:paraId="73E3C514" w14:textId="040C74C0" w:rsidR="00AC2792" w:rsidRDefault="00AC2792" w:rsidP="00C42932">
      <w:pPr>
        <w:jc w:val="both"/>
        <w:rPr>
          <w:b/>
          <w:lang w:val="pt-BR"/>
        </w:rPr>
      </w:pPr>
    </w:p>
    <w:p w14:paraId="6CE78D30" w14:textId="0BCCA1F2" w:rsidR="00AC2792" w:rsidRPr="00AC2792" w:rsidRDefault="00AC2792" w:rsidP="00C42932">
      <w:pPr>
        <w:jc w:val="both"/>
        <w:rPr>
          <w:b/>
        </w:rPr>
      </w:pPr>
      <w:r w:rsidRPr="003109CC">
        <w:rPr>
          <w:b/>
          <w:lang w:val="pt-BR"/>
        </w:rPr>
        <w:t xml:space="preserve">              </w:t>
      </w:r>
      <w:r w:rsidR="00455C54">
        <w:rPr>
          <w:b/>
          <w:lang w:val="pt-BR"/>
        </w:rPr>
        <w:t>p.</w:t>
      </w:r>
      <w:r w:rsidR="00455C54">
        <w:rPr>
          <w:b/>
        </w:rPr>
        <w:t>Ș</w:t>
      </w:r>
      <w:r w:rsidRPr="00AC2792">
        <w:rPr>
          <w:b/>
        </w:rPr>
        <w:t>EF SERI</w:t>
      </w:r>
      <w:r>
        <w:rPr>
          <w:b/>
        </w:rPr>
        <w:t>VI</w:t>
      </w:r>
      <w:r w:rsidRPr="00AC2792">
        <w:rPr>
          <w:b/>
        </w:rPr>
        <w:t>CIU JU</w:t>
      </w:r>
      <w:r>
        <w:rPr>
          <w:b/>
        </w:rPr>
        <w:t>R</w:t>
      </w:r>
      <w:r w:rsidRPr="00AC2792">
        <w:rPr>
          <w:b/>
        </w:rPr>
        <w:t xml:space="preserve">IDIC </w:t>
      </w:r>
    </w:p>
    <w:p w14:paraId="5F40BD8A" w14:textId="400D282F" w:rsidR="00A972D1" w:rsidRPr="00560A29" w:rsidRDefault="00AC2792" w:rsidP="0099659C">
      <w:pPr>
        <w:jc w:val="both"/>
        <w:rPr>
          <w:b/>
          <w:lang w:val="nl-NL"/>
        </w:rPr>
      </w:pPr>
      <w:r>
        <w:rPr>
          <w:b/>
        </w:rPr>
        <w:t xml:space="preserve">                       </w:t>
      </w:r>
      <w:r w:rsidR="00455C54" w:rsidRPr="00560A29">
        <w:rPr>
          <w:b/>
          <w:lang w:val="nl-NL"/>
        </w:rPr>
        <w:t xml:space="preserve">DAN TĂNASE </w:t>
      </w:r>
      <w:r w:rsidRPr="00560A29">
        <w:rPr>
          <w:b/>
          <w:lang w:val="nl-NL"/>
        </w:rPr>
        <w:t xml:space="preserve"> </w:t>
      </w:r>
      <w:r w:rsidR="0099659C" w:rsidRPr="00560A29">
        <w:rPr>
          <w:b/>
          <w:lang w:val="nl-NL"/>
        </w:rPr>
        <w:tab/>
      </w:r>
      <w:r w:rsidR="0099659C" w:rsidRPr="00560A29">
        <w:rPr>
          <w:b/>
          <w:lang w:val="nl-NL"/>
        </w:rPr>
        <w:tab/>
      </w:r>
      <w:r w:rsidR="0099659C" w:rsidRPr="00560A29">
        <w:rPr>
          <w:b/>
          <w:lang w:val="nl-NL"/>
        </w:rPr>
        <w:tab/>
      </w:r>
      <w:r w:rsidR="0099659C" w:rsidRPr="00560A29">
        <w:rPr>
          <w:b/>
          <w:lang w:val="nl-NL"/>
        </w:rPr>
        <w:tab/>
      </w:r>
      <w:r w:rsidR="0099659C" w:rsidRPr="00560A29">
        <w:rPr>
          <w:b/>
          <w:lang w:val="nl-NL"/>
        </w:rPr>
        <w:tab/>
      </w:r>
      <w:r w:rsidR="0099659C" w:rsidRPr="00560A29">
        <w:rPr>
          <w:b/>
          <w:lang w:val="nl-NL"/>
        </w:rPr>
        <w:tab/>
      </w:r>
      <w:r w:rsidR="0099659C" w:rsidRPr="00560A29">
        <w:rPr>
          <w:b/>
          <w:lang w:val="nl-NL"/>
        </w:rPr>
        <w:tab/>
      </w:r>
      <w:r w:rsidR="00C42932" w:rsidRPr="00560A29">
        <w:rPr>
          <w:lang w:val="nl-NL"/>
        </w:rPr>
        <w:t>Cod FO53-01,</w:t>
      </w:r>
      <w:r w:rsidR="00C42932" w:rsidRPr="00560A29">
        <w:rPr>
          <w:color w:val="C0504D"/>
          <w:lang w:val="nl-NL"/>
        </w:rPr>
        <w:t>Ver.2</w:t>
      </w:r>
    </w:p>
    <w:sectPr w:rsidR="00A972D1" w:rsidRPr="00560A29" w:rsidSect="000B6A6C">
      <w:footerReference w:type="default" r:id="rId11"/>
      <w:pgSz w:w="11907" w:h="16840"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08C3" w14:textId="77777777" w:rsidR="000B6A6C" w:rsidRDefault="000B6A6C" w:rsidP="000B6A6C">
      <w:r>
        <w:separator/>
      </w:r>
    </w:p>
  </w:endnote>
  <w:endnote w:type="continuationSeparator" w:id="0">
    <w:p w14:paraId="2E7323A3" w14:textId="77777777" w:rsidR="000B6A6C" w:rsidRDefault="000B6A6C" w:rsidP="000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86B2" w14:textId="4B35D0E3" w:rsidR="000B6A6C" w:rsidRDefault="000B6A6C" w:rsidP="000B6A6C">
    <w:pPr>
      <w:pStyle w:val="Subsol"/>
      <w:jc w:val="center"/>
    </w:pPr>
    <w:r>
      <w:rPr>
        <w:noProof/>
      </w:rPr>
      <w:drawing>
        <wp:inline distT="0" distB="0" distL="0" distR="0" wp14:anchorId="3AB5A25E" wp14:editId="2597CA3A">
          <wp:extent cx="2344420" cy="357505"/>
          <wp:effectExtent l="0" t="0" r="0" b="4445"/>
          <wp:docPr id="432373614" name="Imagine 4323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4420" cy="3575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F140" w14:textId="77777777" w:rsidR="000B6A6C" w:rsidRDefault="000B6A6C" w:rsidP="000B6A6C">
      <w:r>
        <w:separator/>
      </w:r>
    </w:p>
  </w:footnote>
  <w:footnote w:type="continuationSeparator" w:id="0">
    <w:p w14:paraId="75C4F575" w14:textId="77777777" w:rsidR="000B6A6C" w:rsidRDefault="000B6A6C" w:rsidP="000B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AB9"/>
    <w:multiLevelType w:val="hybridMultilevel"/>
    <w:tmpl w:val="BBB0D258"/>
    <w:lvl w:ilvl="0" w:tplc="9D60150C">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7D501DA"/>
    <w:multiLevelType w:val="hybridMultilevel"/>
    <w:tmpl w:val="23DC329C"/>
    <w:lvl w:ilvl="0" w:tplc="04090011">
      <w:start w:val="1"/>
      <w:numFmt w:val="decimal"/>
      <w:lvlText w:val="%1)"/>
      <w:lvlJc w:val="left"/>
      <w:pPr>
        <w:ind w:left="1068" w:hanging="360"/>
      </w:p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360739610">
    <w:abstractNumId w:val="0"/>
  </w:num>
  <w:num w:numId="2" w16cid:durableId="106013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32"/>
    <w:rsid w:val="000B6A6C"/>
    <w:rsid w:val="000D4615"/>
    <w:rsid w:val="0014281F"/>
    <w:rsid w:val="0015517E"/>
    <w:rsid w:val="001F3DF3"/>
    <w:rsid w:val="00266F0E"/>
    <w:rsid w:val="002D3696"/>
    <w:rsid w:val="003109CC"/>
    <w:rsid w:val="00373D5A"/>
    <w:rsid w:val="00396280"/>
    <w:rsid w:val="003A0E1E"/>
    <w:rsid w:val="00455C54"/>
    <w:rsid w:val="004A08CB"/>
    <w:rsid w:val="004E01D6"/>
    <w:rsid w:val="00513917"/>
    <w:rsid w:val="00560A29"/>
    <w:rsid w:val="005A5E5D"/>
    <w:rsid w:val="005B5ADE"/>
    <w:rsid w:val="005F6DB3"/>
    <w:rsid w:val="006226CB"/>
    <w:rsid w:val="00662097"/>
    <w:rsid w:val="00662FD0"/>
    <w:rsid w:val="00921C28"/>
    <w:rsid w:val="0099659C"/>
    <w:rsid w:val="00A676A7"/>
    <w:rsid w:val="00A972D1"/>
    <w:rsid w:val="00AC2792"/>
    <w:rsid w:val="00B13D6B"/>
    <w:rsid w:val="00B44E96"/>
    <w:rsid w:val="00BE7BBA"/>
    <w:rsid w:val="00BF318D"/>
    <w:rsid w:val="00C278A9"/>
    <w:rsid w:val="00C42408"/>
    <w:rsid w:val="00C42932"/>
    <w:rsid w:val="00CB7EE6"/>
    <w:rsid w:val="00EA42A3"/>
    <w:rsid w:val="00EC69DB"/>
    <w:rsid w:val="00FE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B901F"/>
  <w15:chartTrackingRefBased/>
  <w15:docId w15:val="{C2C3730B-04A5-4E07-84D0-01DDF3CE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42932"/>
    <w:pPr>
      <w:spacing w:before="100" w:beforeAutospacing="1" w:after="100" w:afterAutospacing="1"/>
    </w:pPr>
    <w:rPr>
      <w:rFonts w:eastAsia="Times New Roman" w:cs="Times New Roman"/>
      <w:szCs w:val="24"/>
    </w:rPr>
  </w:style>
  <w:style w:type="paragraph" w:styleId="Listparagraf">
    <w:name w:val="List Paragraph"/>
    <w:basedOn w:val="Normal"/>
    <w:uiPriority w:val="34"/>
    <w:qFormat/>
    <w:rsid w:val="00C42932"/>
    <w:pPr>
      <w:ind w:left="720"/>
      <w:contextualSpacing/>
    </w:pPr>
  </w:style>
  <w:style w:type="paragraph" w:styleId="Antet">
    <w:name w:val="header"/>
    <w:basedOn w:val="Normal"/>
    <w:link w:val="AntetCaracter"/>
    <w:uiPriority w:val="99"/>
    <w:unhideWhenUsed/>
    <w:rsid w:val="000B6A6C"/>
    <w:pPr>
      <w:tabs>
        <w:tab w:val="center" w:pos="4513"/>
        <w:tab w:val="right" w:pos="9026"/>
      </w:tabs>
    </w:pPr>
  </w:style>
  <w:style w:type="character" w:customStyle="1" w:styleId="AntetCaracter">
    <w:name w:val="Antet Caracter"/>
    <w:basedOn w:val="Fontdeparagrafimplicit"/>
    <w:link w:val="Antet"/>
    <w:uiPriority w:val="99"/>
    <w:rsid w:val="000B6A6C"/>
  </w:style>
  <w:style w:type="paragraph" w:styleId="Subsol">
    <w:name w:val="footer"/>
    <w:basedOn w:val="Normal"/>
    <w:link w:val="SubsolCaracter"/>
    <w:uiPriority w:val="99"/>
    <w:unhideWhenUsed/>
    <w:rsid w:val="000B6A6C"/>
    <w:pPr>
      <w:tabs>
        <w:tab w:val="center" w:pos="4513"/>
        <w:tab w:val="right" w:pos="9026"/>
      </w:tabs>
    </w:pPr>
  </w:style>
  <w:style w:type="character" w:customStyle="1" w:styleId="SubsolCaracter">
    <w:name w:val="Subsol Caracter"/>
    <w:basedOn w:val="Fontdeparagrafimplicit"/>
    <w:link w:val="Subsol"/>
    <w:uiPriority w:val="99"/>
    <w:rsid w:val="000B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B699E-6854-47D8-92D8-115C819A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1202</Words>
  <Characters>6975</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Blajin</dc:creator>
  <cp:keywords/>
  <dc:description/>
  <cp:lastModifiedBy>D M</cp:lastModifiedBy>
  <cp:revision>3</cp:revision>
  <cp:lastPrinted>2022-10-21T05:12:00Z</cp:lastPrinted>
  <dcterms:created xsi:type="dcterms:W3CDTF">2023-08-18T07:31:00Z</dcterms:created>
  <dcterms:modified xsi:type="dcterms:W3CDTF">2023-08-18T08:25:00Z</dcterms:modified>
</cp:coreProperties>
</file>