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ROMÂNIA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JUDETUL TIMIŞ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MUNICIPIUL TIMISOARA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CONSILIUL LOCAL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NR. SC2022-</w:t>
      </w:r>
    </w:p>
    <w:p w:rsidR="00037D64" w:rsidRPr="00292505" w:rsidRDefault="00037D64" w:rsidP="00037D64">
      <w:pPr>
        <w:spacing w:after="0" w:line="240" w:lineRule="auto"/>
        <w:rPr>
          <w:rFonts w:ascii="Times New Roman" w:hAnsi="Times New Roman" w:cs="Times New Roman"/>
        </w:rPr>
      </w:pPr>
    </w:p>
    <w:p w:rsidR="00037D64" w:rsidRPr="00292505" w:rsidRDefault="00037D64" w:rsidP="00037D64">
      <w:pPr>
        <w:spacing w:after="0" w:line="240" w:lineRule="auto"/>
        <w:rPr>
          <w:rFonts w:ascii="Times New Roman" w:hAnsi="Times New Roman" w:cs="Times New Roman"/>
        </w:rPr>
      </w:pPr>
    </w:p>
    <w:p w:rsidR="00037D64" w:rsidRPr="00292505" w:rsidRDefault="00037D64" w:rsidP="00037D64">
      <w:pPr>
        <w:pStyle w:val="NoSpacing"/>
        <w:jc w:val="center"/>
        <w:rPr>
          <w:rFonts w:ascii="Times New Roman" w:hAnsi="Times New Roman"/>
          <w:b/>
        </w:rPr>
      </w:pPr>
      <w:r w:rsidRPr="00292505">
        <w:rPr>
          <w:rFonts w:ascii="Times New Roman" w:hAnsi="Times New Roman"/>
          <w:b/>
        </w:rPr>
        <w:t xml:space="preserve">REFERAT DE APROBARE A </w:t>
      </w:r>
    </w:p>
    <w:p w:rsidR="00037D64" w:rsidRPr="00292505" w:rsidRDefault="00037D64" w:rsidP="00037D64">
      <w:pPr>
        <w:pStyle w:val="NoSpacing"/>
        <w:jc w:val="center"/>
        <w:rPr>
          <w:rFonts w:ascii="Times New Roman" w:hAnsi="Times New Roman"/>
          <w:b/>
        </w:rPr>
      </w:pPr>
      <w:r w:rsidRPr="00292505">
        <w:rPr>
          <w:rFonts w:ascii="Times New Roman" w:hAnsi="Times New Roman"/>
          <w:b/>
        </w:rPr>
        <w:t>PROIECTULUI DE HOTĂRÂRE</w:t>
      </w:r>
    </w:p>
    <w:p w:rsidR="00037D64" w:rsidRPr="00037D64" w:rsidRDefault="00037D64" w:rsidP="00037D64">
      <w:pPr>
        <w:pStyle w:val="NoSpacing"/>
        <w:jc w:val="center"/>
        <w:rPr>
          <w:rFonts w:ascii="Times New Roman" w:hAnsi="Times New Roman"/>
          <w:b/>
          <w:sz w:val="24"/>
          <w:szCs w:val="24"/>
        </w:rPr>
      </w:pPr>
    </w:p>
    <w:p w:rsidR="00037D64" w:rsidRPr="00037D64" w:rsidRDefault="00037D64" w:rsidP="00037D64">
      <w:pPr>
        <w:tabs>
          <w:tab w:val="num" w:pos="567"/>
        </w:tabs>
        <w:jc w:val="center"/>
        <w:rPr>
          <w:rFonts w:ascii="Times New Roman" w:hAnsi="Times New Roman" w:cs="Times New Roman"/>
        </w:rPr>
      </w:pPr>
      <w:r>
        <w:rPr>
          <w:rFonts w:ascii="Times New Roman" w:hAnsi="Times New Roman" w:cs="Times New Roman"/>
        </w:rPr>
        <w:t>privind</w:t>
      </w:r>
      <w:r w:rsidRPr="00037D64">
        <w:rPr>
          <w:rFonts w:ascii="Times New Roman" w:hAnsi="Times New Roman" w:cs="Times New Roman"/>
          <w:spacing w:val="-16"/>
          <w:w w:val="105"/>
        </w:rPr>
        <w:t xml:space="preserve"> </w:t>
      </w:r>
      <w:r w:rsidRPr="00037D64">
        <w:rPr>
          <w:rFonts w:ascii="Times New Roman" w:hAnsi="Times New Roman" w:cs="Times New Roman"/>
        </w:rPr>
        <w:t xml:space="preserve">aprobarea </w:t>
      </w:r>
      <w:r w:rsidR="00292505">
        <w:rPr>
          <w:rFonts w:ascii="Times New Roman" w:hAnsi="Times New Roman" w:cs="Times New Roman"/>
        </w:rPr>
        <w:t>prelungirii prin Act adițional</w:t>
      </w:r>
      <w:r w:rsidRPr="00037D64">
        <w:rPr>
          <w:rFonts w:ascii="Times New Roman" w:hAnsi="Times New Roman" w:cs="Times New Roman"/>
        </w:rPr>
        <w:t xml:space="preserve"> a Contractului nr.143/23.09.2019, </w:t>
      </w:r>
      <w:r w:rsidRPr="00037D64">
        <w:rPr>
          <w:rFonts w:ascii="Times New Roman" w:eastAsia="Calibri" w:hAnsi="Times New Roman" w:cs="Times New Roman"/>
          <w:color w:val="000000"/>
        </w:rPr>
        <w:t>de delegare a  gestiunii serviciului pentru gestionarea câinilor fără stăpân din  Municipiul Timişoara, prin concesiune</w:t>
      </w:r>
    </w:p>
    <w:p w:rsidR="00037D64" w:rsidRPr="006F6A48" w:rsidRDefault="00037D64" w:rsidP="00037D64">
      <w:pPr>
        <w:spacing w:after="0" w:line="240" w:lineRule="auto"/>
        <w:jc w:val="center"/>
        <w:rPr>
          <w:rFonts w:ascii="Times New Roman" w:hAnsi="Times New Roman" w:cs="Times New Roman"/>
          <w:sz w:val="24"/>
          <w:szCs w:val="24"/>
        </w:rPr>
      </w:pPr>
    </w:p>
    <w:p w:rsidR="00037D64" w:rsidRPr="00037D64" w:rsidRDefault="00947A5D" w:rsidP="00037D64">
      <w:pPr>
        <w:tabs>
          <w:tab w:val="num" w:pos="567"/>
        </w:tabs>
        <w:jc w:val="both"/>
        <w:rPr>
          <w:rFonts w:ascii="Times New Roman" w:hAnsi="Times New Roman" w:cs="Times New Roman"/>
        </w:rPr>
      </w:pPr>
      <w:r>
        <w:rPr>
          <w:rFonts w:ascii="Times New Roman" w:hAnsi="Times New Roman" w:cs="Times New Roman"/>
        </w:rPr>
        <w:tab/>
      </w:r>
      <w:r w:rsidR="00037D64" w:rsidRPr="00037D64">
        <w:rPr>
          <w:rFonts w:ascii="Times New Roman" w:hAnsi="Times New Roman" w:cs="Times New Roman"/>
        </w:rPr>
        <w:t xml:space="preserve">Potrivit </w:t>
      </w:r>
      <w:r w:rsidR="003D4DA2">
        <w:rPr>
          <w:rFonts w:ascii="Times New Roman" w:hAnsi="Times New Roman" w:cs="Times New Roman"/>
        </w:rPr>
        <w:t xml:space="preserve">legislației specifice și </w:t>
      </w:r>
      <w:r w:rsidR="00037D64" w:rsidRPr="00037D64">
        <w:rPr>
          <w:rFonts w:ascii="Times New Roman" w:hAnsi="Times New Roman" w:cs="Times New Roman"/>
        </w:rPr>
        <w:t>adresei Inspectoratului de Poliție Județean Timiș, Biroul Protecția Animalelor, înregistrată la Primăria Municipiului Timișoara cu numărul SC2022-14319/09.06.2022, prin care ne sunt comunicate prevederile legale referitoare la obligațiile Consiliilor Locale și anume:</w:t>
      </w:r>
    </w:p>
    <w:p w:rsidR="00037D64" w:rsidRPr="00037D64" w:rsidRDefault="00037D64" w:rsidP="00037D64">
      <w:pPr>
        <w:pStyle w:val="ListParagraph"/>
        <w:numPr>
          <w:ilvl w:val="0"/>
          <w:numId w:val="1"/>
        </w:numPr>
        <w:tabs>
          <w:tab w:val="num" w:pos="567"/>
        </w:tabs>
        <w:ind w:left="567" w:hanging="207"/>
        <w:jc w:val="both"/>
        <w:rPr>
          <w:rFonts w:eastAsiaTheme="minorHAnsi"/>
          <w:sz w:val="22"/>
          <w:szCs w:val="22"/>
        </w:rPr>
      </w:pPr>
      <w:r w:rsidRPr="00037D64">
        <w:rPr>
          <w:rFonts w:eastAsiaTheme="minorHAnsi"/>
          <w:sz w:val="22"/>
          <w:szCs w:val="22"/>
        </w:rPr>
        <w:t>prevederile art.7, alin.1 din O.U.G. nr. 55/2002 privind regimul de deținere al câinilor periculoși sau agresivi, Consiliile locale ale unităților administrativ-teritoriale sunt considerate proprietari ai câinilor fără stăpân și ai câinilor care circulă liberi, fără însoțitor, în locuri publice, care nu au fost revendicați sau adoptați în condițiile prevederilor legale și au obligația de a captura și escorta acești câini, prin intermediul personalului calificat;</w:t>
      </w:r>
    </w:p>
    <w:p w:rsidR="00037D64" w:rsidRPr="00037D64" w:rsidRDefault="00037D64" w:rsidP="00037D64">
      <w:pPr>
        <w:pStyle w:val="sartttl"/>
        <w:numPr>
          <w:ilvl w:val="0"/>
          <w:numId w:val="1"/>
        </w:numPr>
        <w:ind w:left="567" w:hanging="283"/>
        <w:rPr>
          <w:rFonts w:ascii="Times New Roman" w:eastAsiaTheme="minorHAnsi" w:hAnsi="Times New Roman"/>
          <w:b w:val="0"/>
          <w:bCs w:val="0"/>
          <w:color w:val="auto"/>
          <w:sz w:val="22"/>
          <w:szCs w:val="22"/>
          <w:lang w:val="ro-RO"/>
        </w:rPr>
      </w:pPr>
      <w:r w:rsidRPr="00037D64">
        <w:rPr>
          <w:rFonts w:ascii="Times New Roman" w:eastAsiaTheme="minorHAnsi" w:hAnsi="Times New Roman"/>
          <w:b w:val="0"/>
          <w:bCs w:val="0"/>
          <w:color w:val="auto"/>
          <w:sz w:val="22"/>
          <w:szCs w:val="22"/>
          <w:lang w:val="ro-RO"/>
        </w:rPr>
        <w:t>conform Legii nr. 138/2022 pentru modificarea și completarea Legii nr. 205/2004 privind protecția animalelor, art. 27 se modifică și are următorul cuprins:  În cazul săvârşirii de două ori a faptelor prevăzute la art. 25 alin. (1) lit. a) şi b) de către proprietarul animalelor, pe lângă sancţiunile aplicate, se aplică şi măsura confiscării animalelor. După caz, toate animalele vor fi cazate în adăposturi care funcţionează pe lângă consiliile locale, în vederea adopţiei sau a valorificării, în condiţiile legii;</w:t>
      </w:r>
    </w:p>
    <w:p w:rsidR="00037D64" w:rsidRDefault="00037D64" w:rsidP="00037D64">
      <w:pPr>
        <w:pStyle w:val="ListParagraph"/>
        <w:numPr>
          <w:ilvl w:val="0"/>
          <w:numId w:val="1"/>
        </w:numPr>
        <w:tabs>
          <w:tab w:val="num" w:pos="567"/>
        </w:tabs>
        <w:ind w:left="567"/>
        <w:jc w:val="both"/>
        <w:rPr>
          <w:rFonts w:eastAsiaTheme="minorHAnsi"/>
          <w:sz w:val="22"/>
          <w:szCs w:val="22"/>
        </w:rPr>
      </w:pPr>
      <w:r w:rsidRPr="00037D64">
        <w:rPr>
          <w:rFonts w:eastAsiaTheme="minorHAnsi"/>
          <w:sz w:val="22"/>
          <w:szCs w:val="22"/>
        </w:rPr>
        <w:t xml:space="preserve">în conformitate cu prevederile H.G. nr. 1059/2013 pentru aprobarea Normelor de aplicare a O.U.G. nr. 155/2001 privind aprobarea programului de gestionare a câinilor fără stăpân, concesionarea serviciilor specializate pentru gestionarea câinilor fără stăpân se face de către consiliile locale cu respectarea prevederilor  O.U.G. nr. 34/2006 privind atribuirea contractelor de achiziţie publică, a contractelor de concesiune de lucrări publice şi a contractelor de concesiune de servicii şi a H.G. nr.71/2007 pentru aprobarea Normelor de aplicare a prevederilor referitoare la atribuirea contractelor de concesiune de lucrări publice şi a contractelor de concesiune de servicii; </w:t>
      </w:r>
    </w:p>
    <w:p w:rsidR="00037D64" w:rsidRPr="00037D64" w:rsidRDefault="00037D64" w:rsidP="00037D64">
      <w:pPr>
        <w:pStyle w:val="ListParagraph"/>
        <w:tabs>
          <w:tab w:val="num" w:pos="567"/>
        </w:tabs>
        <w:ind w:left="567"/>
        <w:jc w:val="both"/>
        <w:rPr>
          <w:rFonts w:eastAsiaTheme="minorHAnsi"/>
          <w:sz w:val="22"/>
          <w:szCs w:val="22"/>
        </w:rPr>
      </w:pPr>
    </w:p>
    <w:p w:rsidR="003D4DA2" w:rsidRDefault="00037D64" w:rsidP="00037D64">
      <w:pPr>
        <w:tabs>
          <w:tab w:val="num" w:pos="567"/>
        </w:tabs>
        <w:jc w:val="both"/>
        <w:rPr>
          <w:rFonts w:ascii="Times New Roman" w:hAnsi="Times New Roman" w:cs="Times New Roman"/>
        </w:rPr>
      </w:pPr>
      <w:r w:rsidRPr="00037D64">
        <w:rPr>
          <w:rFonts w:ascii="Times New Roman" w:hAnsi="Times New Roman" w:cs="Times New Roman"/>
        </w:rPr>
        <w:tab/>
        <w:t xml:space="preserve">Având în vedere modificările legislative privind atribuirea contractelor de achiziţie publică, a contractelor de concesiune de lucrări publice şi a contractelor de concesiune de servicii apărute în 2016, avem la bază Legea nr. 100/2016 privind concesiunile de lucrări şi concesiunile de servicii şi Hotărârea de Guvern nr.867/2016 pentru aprobarea Normelor metodologice de aplicare a prevederilor referitoare la atribuirea contractelor de concesiune de lucrări şi concesiune de servicii din Legea nr. 100/2016 privind concesiunile de lucrări şi concesiunile de servicii; </w:t>
      </w:r>
    </w:p>
    <w:p w:rsidR="003D4DA2" w:rsidRPr="00037D64" w:rsidRDefault="003D4DA2" w:rsidP="003D4DA2">
      <w:pPr>
        <w:tabs>
          <w:tab w:val="num" w:pos="567"/>
        </w:tabs>
        <w:jc w:val="both"/>
        <w:rPr>
          <w:rFonts w:ascii="Times New Roman" w:hAnsi="Times New Roman" w:cs="Times New Roman"/>
        </w:rPr>
      </w:pPr>
      <w:r>
        <w:rPr>
          <w:rFonts w:ascii="Times New Roman" w:hAnsi="Times New Roman" w:cs="Times New Roman"/>
        </w:rPr>
        <w:t xml:space="preserve">          Luând în considerare </w:t>
      </w:r>
      <w:r w:rsidRPr="00037D64">
        <w:rPr>
          <w:rFonts w:ascii="Times New Roman" w:hAnsi="Times New Roman" w:cs="Times New Roman"/>
        </w:rPr>
        <w:t>faptul că la nivelul Municipiului Timişoara, autorităţile publice locale, au cuprins în Programul de Dezvoltare pentru anul 2021 si 2022 obiectivul de investiții SF Adăpost populație canină, aflându-se în momentul de față în procedura de primă înscriere a terenului identificat pentru amenajarea acestui adăpost public pentru animale fără stăpân, urmând realizarea PUZ-ului, Studiului de Fezabilitate, Proiectului Tehnic și  în final execuția, în cazul în care Consiliul Local decide realizarea proiectului, identificându-se și sursa de finanțare pentru execuție.</w:t>
      </w:r>
    </w:p>
    <w:p w:rsidR="00037D64" w:rsidRPr="00037D64" w:rsidRDefault="00037D64" w:rsidP="00037D64">
      <w:pPr>
        <w:tabs>
          <w:tab w:val="num" w:pos="567"/>
        </w:tabs>
        <w:jc w:val="both"/>
        <w:rPr>
          <w:rFonts w:ascii="Times New Roman" w:hAnsi="Times New Roman" w:cs="Times New Roman"/>
        </w:rPr>
      </w:pPr>
      <w:r w:rsidRPr="00037D64">
        <w:rPr>
          <w:rFonts w:ascii="Times New Roman" w:hAnsi="Times New Roman" w:cs="Times New Roman"/>
        </w:rPr>
        <w:t xml:space="preserve">                                                                                                                                                                                                                                                                                                                                                                                                                                                                                                                                                                                                                                                                                                                                                                                                                                                                                                                                                                                                                                                                                                                                                                                                                                                                                                                                                                                                                                                                                                                                                                                                                                                                                                                                                                                                                                                                                                                                                                                                                                                                                                                                                                                                                                                                                                                                                                                                                                                                                                                                                                                                                                                                                                                                                                                                                                                                                                                                                                                                                                                                                                                                                                                                                                                                                                                                                                                                                                                                                                                                                                                                                                                                                                                                                                                                                                                                                                                                                                                                                                                                                                                                                                                                                                                                                                                                                                                                                                                                                                                                                                                                                                                                                                                                                                                                                                                                                                                                                                                                                                                                                                                                                                                                                                                                                                                                                                                                                                                                                                                                                                                                                                                                                         </w:t>
      </w:r>
    </w:p>
    <w:p w:rsidR="00037D64" w:rsidRPr="00037D64" w:rsidRDefault="00037D64" w:rsidP="00037D64">
      <w:pPr>
        <w:tabs>
          <w:tab w:val="num" w:pos="567"/>
        </w:tabs>
        <w:jc w:val="both"/>
        <w:rPr>
          <w:rFonts w:ascii="Times New Roman" w:hAnsi="Times New Roman" w:cs="Times New Roman"/>
        </w:rPr>
      </w:pPr>
      <w:r w:rsidRPr="00037D64">
        <w:rPr>
          <w:rFonts w:ascii="Times New Roman" w:hAnsi="Times New Roman" w:cs="Times New Roman"/>
        </w:rPr>
        <w:lastRenderedPageBreak/>
        <w:t xml:space="preserve">      </w:t>
      </w:r>
      <w:r w:rsidRPr="00037D64">
        <w:rPr>
          <w:rFonts w:ascii="Times New Roman" w:hAnsi="Times New Roman" w:cs="Times New Roman"/>
        </w:rPr>
        <w:tab/>
        <w:t xml:space="preserve"> În prezent în Municipiul Timişoara, serviciul de gestionare a câinilor fără stăpân funcţionează în baza contractului nr. 143/23.09.2019 de delegare a  gestiunii serviciului pentru gestionarea câinilor fără stăpân din  Municipiul Timişoara, prin concesiune, contract a cărui valabilitate expira în luna octombrie a anului în curs;</w:t>
      </w:r>
    </w:p>
    <w:p w:rsidR="00037D64" w:rsidRPr="00037D64" w:rsidRDefault="00037D64" w:rsidP="00037D64">
      <w:pPr>
        <w:tabs>
          <w:tab w:val="num" w:pos="567"/>
        </w:tabs>
        <w:jc w:val="both"/>
        <w:rPr>
          <w:rFonts w:ascii="Times New Roman" w:hAnsi="Times New Roman" w:cs="Times New Roman"/>
        </w:rPr>
      </w:pPr>
      <w:r w:rsidRPr="00037D64">
        <w:rPr>
          <w:rFonts w:ascii="Times New Roman" w:hAnsi="Times New Roman" w:cs="Times New Roman"/>
        </w:rPr>
        <w:t xml:space="preserve">           În conformitate cu următoarele prevederi ale Contractului nr. 143/23.09.2019, de delegare a  gestiunii serviciului pentru gestionarea câinilor fără stăpân din  Municipiul Timişoara, prin concesiune:</w:t>
      </w:r>
    </w:p>
    <w:p w:rsidR="00037D64" w:rsidRPr="00037D64" w:rsidRDefault="00037D64" w:rsidP="00037D64">
      <w:pPr>
        <w:widowControl w:val="0"/>
        <w:autoSpaceDE w:val="0"/>
        <w:autoSpaceDN w:val="0"/>
        <w:adjustRightInd w:val="0"/>
        <w:jc w:val="both"/>
        <w:rPr>
          <w:rFonts w:ascii="Times New Roman" w:hAnsi="Times New Roman" w:cs="Times New Roman"/>
        </w:rPr>
      </w:pPr>
      <w:r w:rsidRPr="00037D64">
        <w:rPr>
          <w:rFonts w:ascii="Times New Roman" w:hAnsi="Times New Roman" w:cs="Times New Roman"/>
        </w:rPr>
        <w:t xml:space="preserve">Art. 4 (1) Durata contractului de delegare a gestiunii este de 3 ani, începând de la data constituirii garanţiei de bună execuţie sau până la epuizarea totala a valorii contractului conform art. 13, alin 5 din prezentul contract. </w:t>
      </w:r>
    </w:p>
    <w:p w:rsidR="00037D64" w:rsidRPr="00037D64" w:rsidRDefault="00037D64" w:rsidP="00037D64">
      <w:pPr>
        <w:autoSpaceDE w:val="0"/>
        <w:autoSpaceDN w:val="0"/>
        <w:adjustRightInd w:val="0"/>
        <w:jc w:val="both"/>
        <w:rPr>
          <w:rFonts w:ascii="Times New Roman" w:hAnsi="Times New Roman" w:cs="Times New Roman"/>
        </w:rPr>
      </w:pPr>
      <w:r w:rsidRPr="00037D64">
        <w:rPr>
          <w:rFonts w:ascii="Times New Roman" w:hAnsi="Times New Roman" w:cs="Times New Roman"/>
        </w:rPr>
        <w:t>Art. 24  Prezentul contract de delegare a gestiunii încetează în următoarele situaţii:</w:t>
      </w:r>
    </w:p>
    <w:p w:rsidR="00037D64" w:rsidRDefault="00037D64" w:rsidP="00037D64">
      <w:pPr>
        <w:pStyle w:val="Bodytext0"/>
        <w:numPr>
          <w:ilvl w:val="0"/>
          <w:numId w:val="2"/>
        </w:numPr>
        <w:shd w:val="clear" w:color="auto" w:fill="auto"/>
        <w:tabs>
          <w:tab w:val="left" w:pos="274"/>
        </w:tabs>
        <w:spacing w:before="0" w:line="274" w:lineRule="exact"/>
        <w:ind w:left="20" w:right="20" w:firstLine="0"/>
        <w:jc w:val="both"/>
        <w:rPr>
          <w:rFonts w:ascii="Times New Roman" w:hAnsi="Times New Roman" w:cs="Times New Roman"/>
          <w:b w:val="0"/>
          <w:bCs w:val="0"/>
          <w:spacing w:val="0"/>
        </w:rPr>
      </w:pPr>
      <w:r w:rsidRPr="00037D64">
        <w:rPr>
          <w:rFonts w:ascii="Times New Roman" w:hAnsi="Times New Roman" w:cs="Times New Roman"/>
          <w:b w:val="0"/>
          <w:bCs w:val="0"/>
          <w:spacing w:val="0"/>
        </w:rPr>
        <w:t xml:space="preserve"> la expirarea duratei stabilite prin contract, dacă părţile nu convin, în scris, prelungirea acestuia în condiţiile legii;</w:t>
      </w:r>
    </w:p>
    <w:p w:rsidR="00037D64" w:rsidRPr="00037D64" w:rsidRDefault="00037D64" w:rsidP="00037D64">
      <w:pPr>
        <w:pStyle w:val="Bodytext0"/>
        <w:shd w:val="clear" w:color="auto" w:fill="auto"/>
        <w:tabs>
          <w:tab w:val="left" w:pos="274"/>
        </w:tabs>
        <w:spacing w:before="0" w:line="274" w:lineRule="exact"/>
        <w:ind w:left="20" w:right="20" w:firstLine="0"/>
        <w:jc w:val="both"/>
        <w:rPr>
          <w:rFonts w:ascii="Times New Roman" w:hAnsi="Times New Roman" w:cs="Times New Roman"/>
          <w:b w:val="0"/>
          <w:bCs w:val="0"/>
          <w:spacing w:val="0"/>
        </w:rPr>
      </w:pPr>
    </w:p>
    <w:p w:rsidR="00037D64" w:rsidRPr="00292505" w:rsidRDefault="00037D64" w:rsidP="00292505">
      <w:pPr>
        <w:tabs>
          <w:tab w:val="num" w:pos="567"/>
        </w:tabs>
        <w:jc w:val="both"/>
        <w:rPr>
          <w:rFonts w:ascii="Times New Roman" w:hAnsi="Times New Roman" w:cs="Times New Roman"/>
        </w:rPr>
      </w:pPr>
      <w:r w:rsidRPr="00037D64">
        <w:t xml:space="preserve">            </w:t>
      </w:r>
      <w:r w:rsidRPr="00292505">
        <w:rPr>
          <w:rFonts w:ascii="Times New Roman" w:hAnsi="Times New Roman" w:cs="Times New Roman"/>
        </w:rPr>
        <w:t>Având în vedere valoarea contractului de 6.772.956 lei fără TVA, respectiv 8.059.817,64 lei cu TVA</w:t>
      </w:r>
      <w:r w:rsidR="00292505" w:rsidRPr="00292505">
        <w:rPr>
          <w:rFonts w:ascii="Times New Roman" w:hAnsi="Times New Roman" w:cs="Times New Roman"/>
        </w:rPr>
        <w:t xml:space="preserve">, conform Art.13, alin.5 din </w:t>
      </w:r>
      <w:r w:rsidR="00292505">
        <w:rPr>
          <w:rFonts w:ascii="Times New Roman" w:hAnsi="Times New Roman" w:cs="Times New Roman"/>
        </w:rPr>
        <w:t>Contractul</w:t>
      </w:r>
      <w:r w:rsidR="00292505" w:rsidRPr="00037D64">
        <w:rPr>
          <w:rFonts w:ascii="Times New Roman" w:hAnsi="Times New Roman" w:cs="Times New Roman"/>
        </w:rPr>
        <w:t xml:space="preserve"> nr. 143/23.09.2019, de delegare a  gestiunii serviciului pentru gestionarea câinilor fără stăpân din  Municipiul Timişoara, prin concesiune</w:t>
      </w:r>
      <w:r w:rsidR="00292505">
        <w:rPr>
          <w:rFonts w:ascii="Times New Roman" w:hAnsi="Times New Roman" w:cs="Times New Roman"/>
        </w:rPr>
        <w:t xml:space="preserve"> </w:t>
      </w:r>
      <w:r w:rsidRPr="00292505">
        <w:rPr>
          <w:rFonts w:ascii="Times New Roman" w:hAnsi="Times New Roman" w:cs="Times New Roman"/>
        </w:rPr>
        <w:t>si a faptului ca dată fiind creșterea numărului adopțiilor, implicarea asociațiilor de protecție a animalelor prin realizarea campaniilor de sterilizare și a târgurilor de adopții și datorită scăderii numărului de câini fără stăpân, după doi ani și 9 luni de contract, suma rămasă este de 3.065.708,56 lei cu T.V.A., valoare estimată ca suficientă pentru prelungirea contractului pe o perioadă de 1 an.</w:t>
      </w:r>
    </w:p>
    <w:p w:rsidR="00037D64" w:rsidRPr="00037D64" w:rsidRDefault="00037D64" w:rsidP="00037D64">
      <w:pPr>
        <w:tabs>
          <w:tab w:val="num" w:pos="567"/>
        </w:tabs>
        <w:jc w:val="both"/>
        <w:rPr>
          <w:rFonts w:ascii="Times New Roman" w:hAnsi="Times New Roman" w:cs="Times New Roman"/>
        </w:rPr>
      </w:pPr>
      <w:r w:rsidRPr="00037D64">
        <w:rPr>
          <w:rFonts w:ascii="Times New Roman" w:hAnsi="Times New Roman" w:cs="Times New Roman"/>
        </w:rPr>
        <w:tab/>
        <w:t xml:space="preserve">   Luând în considerare </w:t>
      </w:r>
      <w:r w:rsidR="00292505">
        <w:rPr>
          <w:rFonts w:ascii="Times New Roman" w:hAnsi="Times New Roman" w:cs="Times New Roman"/>
        </w:rPr>
        <w:t xml:space="preserve">răspunsul la </w:t>
      </w:r>
      <w:r w:rsidRPr="00037D64">
        <w:rPr>
          <w:rFonts w:ascii="Times New Roman" w:hAnsi="Times New Roman" w:cs="Times New Roman"/>
        </w:rPr>
        <w:t>adresa înregistrată la Primăria Municipiului Timișoara cu numărul SC2022-8533/07.04.2022, prin care concesionarul S.C. Danyflor S.R.L., prin director Pușcaș Ionel își exprimă acordul cu privire la prelungirea contractului nr. 143/23.09.2019, cu un an sau până la epuizarea valorii acestuia.</w:t>
      </w:r>
    </w:p>
    <w:p w:rsidR="00037D64" w:rsidRDefault="00037D64" w:rsidP="00037D64">
      <w:pPr>
        <w:pStyle w:val="Default"/>
        <w:jc w:val="both"/>
        <w:rPr>
          <w:rFonts w:eastAsiaTheme="minorHAnsi"/>
          <w:color w:val="auto"/>
          <w:sz w:val="22"/>
          <w:szCs w:val="22"/>
        </w:rPr>
      </w:pPr>
      <w:r w:rsidRPr="00037D64">
        <w:rPr>
          <w:rFonts w:eastAsiaTheme="minorHAnsi"/>
          <w:color w:val="auto"/>
          <w:sz w:val="22"/>
          <w:szCs w:val="22"/>
        </w:rPr>
        <w:t xml:space="preserve">             Durata prelungirii contractului de delegare a gestiunii prin concesionare care urmează să fie aprobată prin act adițional este de 1 an sau până la epuizarea valorii contractului.   </w:t>
      </w:r>
    </w:p>
    <w:p w:rsidR="00037D64" w:rsidRPr="00037D64" w:rsidRDefault="00037D64" w:rsidP="00037D64">
      <w:pPr>
        <w:pStyle w:val="Default"/>
        <w:jc w:val="both"/>
        <w:rPr>
          <w:rFonts w:eastAsiaTheme="minorHAnsi"/>
          <w:color w:val="auto"/>
          <w:sz w:val="22"/>
          <w:szCs w:val="22"/>
        </w:rPr>
      </w:pPr>
      <w:r w:rsidRPr="00037D64">
        <w:rPr>
          <w:rFonts w:eastAsiaTheme="minorHAnsi"/>
          <w:color w:val="auto"/>
          <w:sz w:val="22"/>
          <w:szCs w:val="22"/>
        </w:rPr>
        <w:t xml:space="preserve">                                                                                                                                                                                                                                                                                                                                                                                                                                                                                                                                                                                                                                                                                                                                                                                                                                                                                                                                                                                                                                                                                                                                                                                                                                                                                                                                                                                                                                                                                                                                                                                                                                                                                                                                                                                                                                                                                                                                                                                                                                                                                                                                                                                                                                                                                                                                                                                                                                                                                                                                                                                                                                                                                                                                                                                                                                                                                                                                                                                                                                                                                                                                                                                                                                                                                                                                                                                                                                                                                                                                                                                                                                                                                                                                                                                                                                                                                                                                                                                                                                                                                                                                                                                                                                                                                                                                                                                                                                                                                                                                                                                                                                                                                                                                                                                                                                                                                                                                                                                                                                                                                                                                                                                                                                                                                                                                                                                                                                                                                                                                                                                                                                                                            </w:t>
      </w:r>
    </w:p>
    <w:p w:rsidR="00037D64" w:rsidRPr="00037D64" w:rsidRDefault="00037D64" w:rsidP="00037D64">
      <w:pPr>
        <w:autoSpaceDE w:val="0"/>
        <w:autoSpaceDN w:val="0"/>
        <w:adjustRightInd w:val="0"/>
        <w:ind w:firstLine="720"/>
        <w:jc w:val="both"/>
        <w:rPr>
          <w:rFonts w:ascii="Times New Roman" w:hAnsi="Times New Roman" w:cs="Times New Roman"/>
        </w:rPr>
      </w:pPr>
      <w:r w:rsidRPr="00037D64">
        <w:rPr>
          <w:rFonts w:ascii="Times New Roman" w:hAnsi="Times New Roman" w:cs="Times New Roman"/>
        </w:rPr>
        <w:t xml:space="preserve">Având în vedere aspectele expuse în prezentul raport, apreciem că proiectul de hotărâre pentru aprobarea Actului adițional de prelungire a Contractului nr.143/23.09.2019, de delegare a  gestiunii serviciului pentru gestionarea câinilor fără stăpân din  Municipiul Timişoara, prin concesiune, îndeplineşte condiţiile pentru a fi supus dezbaterii şi aprobării plenului Consiliului Local. </w:t>
      </w:r>
    </w:p>
    <w:p w:rsidR="00037D64" w:rsidRDefault="00037D64" w:rsidP="00AF2662">
      <w:pPr>
        <w:pStyle w:val="Normal1"/>
        <w:pBdr>
          <w:top w:val="nil"/>
          <w:left w:val="nil"/>
          <w:bottom w:val="nil"/>
          <w:right w:val="nil"/>
          <w:between w:val="nil"/>
        </w:pBdr>
        <w:jc w:val="both"/>
        <w:rPr>
          <w:rFonts w:ascii="Times New Roman" w:hAnsi="Times New Roman" w:cs="Times New Roman"/>
        </w:rPr>
      </w:pPr>
    </w:p>
    <w:p w:rsidR="00037D64" w:rsidRPr="00037D64" w:rsidRDefault="00037D64" w:rsidP="00037D64">
      <w:pPr>
        <w:jc w:val="center"/>
        <w:rPr>
          <w:rFonts w:ascii="Times New Roman" w:hAnsi="Times New Roman" w:cs="Times New Roman"/>
          <w:sz w:val="20"/>
          <w:szCs w:val="20"/>
        </w:rPr>
      </w:pPr>
      <w:r w:rsidRPr="00037D64">
        <w:rPr>
          <w:rFonts w:ascii="Times New Roman" w:hAnsi="Times New Roman" w:cs="Times New Roman"/>
          <w:sz w:val="20"/>
          <w:szCs w:val="20"/>
        </w:rPr>
        <w:t xml:space="preserve">    PRIMAR                                                                              </w:t>
      </w:r>
      <w:r>
        <w:rPr>
          <w:rFonts w:ascii="Times New Roman" w:hAnsi="Times New Roman" w:cs="Times New Roman"/>
          <w:sz w:val="20"/>
          <w:szCs w:val="20"/>
        </w:rPr>
        <w:t xml:space="preserve">         </w:t>
      </w:r>
      <w:r w:rsidRPr="00037D64">
        <w:rPr>
          <w:rFonts w:ascii="Times New Roman" w:hAnsi="Times New Roman" w:cs="Times New Roman"/>
          <w:sz w:val="20"/>
          <w:szCs w:val="20"/>
        </w:rPr>
        <w:t xml:space="preserve">ADMINISTRATOR PUBLIC </w:t>
      </w:r>
    </w:p>
    <w:p w:rsidR="00037D64" w:rsidRPr="00037D64" w:rsidRDefault="00037D64" w:rsidP="00037D64">
      <w:pPr>
        <w:rPr>
          <w:rFonts w:ascii="Times New Roman" w:hAnsi="Times New Roman" w:cs="Times New Roman"/>
          <w:sz w:val="20"/>
          <w:szCs w:val="20"/>
        </w:rPr>
      </w:pPr>
      <w:r w:rsidRPr="00037D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7D64">
        <w:rPr>
          <w:rFonts w:ascii="Times New Roman" w:hAnsi="Times New Roman" w:cs="Times New Roman"/>
          <w:sz w:val="20"/>
          <w:szCs w:val="20"/>
        </w:rPr>
        <w:t xml:space="preserve">DOMINIC FRITZ                                                                   </w:t>
      </w:r>
      <w:r>
        <w:rPr>
          <w:rFonts w:ascii="Times New Roman" w:hAnsi="Times New Roman" w:cs="Times New Roman"/>
          <w:sz w:val="20"/>
          <w:szCs w:val="20"/>
        </w:rPr>
        <w:t xml:space="preserve">   </w:t>
      </w:r>
      <w:r w:rsidRPr="00037D64">
        <w:rPr>
          <w:rFonts w:ascii="Times New Roman" w:hAnsi="Times New Roman" w:cs="Times New Roman"/>
          <w:sz w:val="20"/>
          <w:szCs w:val="20"/>
        </w:rPr>
        <w:t xml:space="preserve">               MATEI CREIVEANU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7"/>
        <w:gridCol w:w="254"/>
        <w:gridCol w:w="4517"/>
      </w:tblGrid>
      <w:tr w:rsidR="00037D64" w:rsidRPr="00A522C6" w:rsidTr="00037D64">
        <w:trPr>
          <w:gridAfter w:val="2"/>
          <w:wAfter w:w="4771" w:type="dxa"/>
        </w:trPr>
        <w:tc>
          <w:tcPr>
            <w:tcW w:w="4517" w:type="dxa"/>
          </w:tcPr>
          <w:p w:rsidR="00037D64" w:rsidRDefault="00037D64" w:rsidP="00AF2662">
            <w:pPr>
              <w:rPr>
                <w:rFonts w:ascii="Times New Roman" w:hAnsi="Times New Roman" w:cs="Times New Roman"/>
              </w:rPr>
            </w:pPr>
          </w:p>
          <w:p w:rsidR="00AF2662" w:rsidRDefault="00AF2662" w:rsidP="00AF2662">
            <w:pPr>
              <w:rPr>
                <w:rFonts w:ascii="Times New Roman" w:hAnsi="Times New Roman" w:cs="Times New Roman"/>
              </w:rPr>
            </w:pPr>
          </w:p>
          <w:p w:rsidR="00AF2662" w:rsidRDefault="00AF2662" w:rsidP="00AF2662">
            <w:pPr>
              <w:rPr>
                <w:rFonts w:ascii="Times New Roman" w:hAnsi="Times New Roman" w:cs="Times New Roman"/>
              </w:rPr>
            </w:pPr>
          </w:p>
          <w:p w:rsidR="00AF2662" w:rsidRPr="006F6A48" w:rsidRDefault="00AF2662" w:rsidP="00AF2662">
            <w:pPr>
              <w:rPr>
                <w:rFonts w:ascii="Times New Roman" w:hAnsi="Times New Roman" w:cs="Times New Roman"/>
              </w:rPr>
            </w:pPr>
            <w:r>
              <w:rPr>
                <w:rFonts w:ascii="Times New Roman" w:hAnsi="Times New Roman" w:cs="Times New Roman"/>
                <w:color w:val="808080" w:themeColor="background1" w:themeShade="80"/>
                <w:sz w:val="18"/>
                <w:szCs w:val="18"/>
              </w:rPr>
              <w:t>Red. Dr. Med. Vet. A.P., 18</w:t>
            </w:r>
            <w:r w:rsidRPr="00037D64">
              <w:rPr>
                <w:rFonts w:ascii="Times New Roman" w:hAnsi="Times New Roman" w:cs="Times New Roman"/>
                <w:color w:val="808080" w:themeColor="background1" w:themeShade="80"/>
                <w:sz w:val="18"/>
                <w:szCs w:val="18"/>
              </w:rPr>
              <w:t xml:space="preserve">.07.2022                                  </w:t>
            </w:r>
            <w:r>
              <w:rPr>
                <w:rFonts w:ascii="Times New Roman" w:hAnsi="Times New Roman" w:cs="Times New Roman"/>
                <w:color w:val="808080" w:themeColor="background1" w:themeShade="80"/>
                <w:sz w:val="18"/>
                <w:szCs w:val="18"/>
              </w:rPr>
              <w:t xml:space="preserve">                                  </w:t>
            </w:r>
            <w:r w:rsidRPr="00037D64">
              <w:rPr>
                <w:rFonts w:ascii="Times New Roman" w:hAnsi="Times New Roman" w:cs="Times New Roman"/>
                <w:color w:val="808080" w:themeColor="background1" w:themeShade="80"/>
                <w:sz w:val="18"/>
                <w:szCs w:val="18"/>
              </w:rPr>
              <w:t xml:space="preserve">     </w:t>
            </w:r>
            <w:r>
              <w:rPr>
                <w:rFonts w:ascii="Times New Roman" w:hAnsi="Times New Roman" w:cs="Times New Roman"/>
                <w:color w:val="808080" w:themeColor="background1" w:themeShade="80"/>
                <w:sz w:val="18"/>
                <w:szCs w:val="18"/>
              </w:rPr>
              <w:t xml:space="preserve">                                                     </w:t>
            </w:r>
          </w:p>
        </w:tc>
      </w:tr>
      <w:tr w:rsidR="00037D64" w:rsidRPr="00A522C6" w:rsidTr="00037D64">
        <w:trPr>
          <w:gridAfter w:val="2"/>
          <w:wAfter w:w="4771" w:type="dxa"/>
        </w:trPr>
        <w:tc>
          <w:tcPr>
            <w:tcW w:w="4517" w:type="dxa"/>
          </w:tcPr>
          <w:p w:rsidR="00AF2662" w:rsidRPr="00037D64" w:rsidRDefault="00AF2662" w:rsidP="00AF2662">
            <w:pPr>
              <w:rPr>
                <w:rFonts w:ascii="Times New Roman" w:hAnsi="Times New Roman" w:cs="Times New Roman"/>
                <w:sz w:val="18"/>
                <w:szCs w:val="18"/>
              </w:rPr>
            </w:pPr>
            <w:r w:rsidRPr="00037D64">
              <w:rPr>
                <w:rFonts w:ascii="Times New Roman" w:hAnsi="Times New Roman" w:cs="Times New Roman"/>
                <w:color w:val="808080" w:themeColor="background1" w:themeShade="80"/>
                <w:sz w:val="18"/>
                <w:szCs w:val="18"/>
              </w:rPr>
              <w:t>Cod FO53-03, Ver.3</w:t>
            </w:r>
          </w:p>
          <w:p w:rsidR="00037D64" w:rsidRPr="00A522C6" w:rsidRDefault="00037D64" w:rsidP="00AF2662">
            <w:pPr>
              <w:rPr>
                <w:rFonts w:ascii="Times New Roman" w:eastAsia="Calibri" w:hAnsi="Times New Roman" w:cs="Times New Roman"/>
                <w:b/>
              </w:rPr>
            </w:pPr>
          </w:p>
        </w:tc>
      </w:tr>
      <w:tr w:rsidR="00037D64" w:rsidRPr="00A522C6" w:rsidTr="00037D64">
        <w:tc>
          <w:tcPr>
            <w:tcW w:w="4771" w:type="dxa"/>
            <w:gridSpan w:val="2"/>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r w:rsidRPr="00A522C6">
              <w:rPr>
                <w:rFonts w:ascii="Times New Roman" w:eastAsia="Calibri" w:hAnsi="Times New Roman" w:cs="Times New Roman"/>
                <w:b/>
                <w:sz w:val="22"/>
                <w:szCs w:val="22"/>
              </w:rPr>
              <w:tab/>
            </w:r>
          </w:p>
        </w:tc>
        <w:tc>
          <w:tcPr>
            <w:tcW w:w="4517" w:type="dxa"/>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p>
        </w:tc>
      </w:tr>
      <w:tr w:rsidR="00037D64" w:rsidRPr="00A522C6" w:rsidTr="00037D64">
        <w:tc>
          <w:tcPr>
            <w:tcW w:w="4771" w:type="dxa"/>
            <w:gridSpan w:val="2"/>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p>
        </w:tc>
        <w:tc>
          <w:tcPr>
            <w:tcW w:w="4517" w:type="dxa"/>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p>
        </w:tc>
      </w:tr>
      <w:tr w:rsidR="00037D64" w:rsidRPr="00A522C6" w:rsidTr="00037D64">
        <w:tc>
          <w:tcPr>
            <w:tcW w:w="4771" w:type="dxa"/>
            <w:gridSpan w:val="2"/>
          </w:tcPr>
          <w:p w:rsidR="00037D64" w:rsidRPr="00A522C6" w:rsidRDefault="00037D64" w:rsidP="00292505">
            <w:pPr>
              <w:pStyle w:val="Normal1"/>
              <w:pBdr>
                <w:top w:val="nil"/>
                <w:left w:val="nil"/>
                <w:bottom w:val="nil"/>
                <w:right w:val="nil"/>
                <w:between w:val="nil"/>
              </w:pBdr>
              <w:rPr>
                <w:rFonts w:ascii="Times New Roman" w:eastAsia="Calibri" w:hAnsi="Times New Roman" w:cs="Times New Roman"/>
                <w:b/>
                <w:sz w:val="22"/>
                <w:szCs w:val="22"/>
              </w:rPr>
            </w:pPr>
          </w:p>
        </w:tc>
        <w:tc>
          <w:tcPr>
            <w:tcW w:w="4517" w:type="dxa"/>
          </w:tcPr>
          <w:p w:rsidR="00037D64" w:rsidRPr="00A522C6" w:rsidRDefault="00037D64" w:rsidP="00A46680">
            <w:pPr>
              <w:pStyle w:val="Normal1"/>
              <w:pBdr>
                <w:top w:val="nil"/>
                <w:left w:val="nil"/>
                <w:bottom w:val="nil"/>
                <w:right w:val="nil"/>
                <w:between w:val="nil"/>
              </w:pBdr>
              <w:jc w:val="center"/>
              <w:rPr>
                <w:rFonts w:ascii="Times New Roman" w:eastAsia="Calibri" w:hAnsi="Times New Roman" w:cs="Times New Roman"/>
                <w:b/>
                <w:sz w:val="22"/>
                <w:szCs w:val="22"/>
              </w:rPr>
            </w:pPr>
          </w:p>
        </w:tc>
      </w:tr>
      <w:tr w:rsidR="00037D64" w:rsidRPr="006F6A48" w:rsidTr="00037D64">
        <w:tc>
          <w:tcPr>
            <w:tcW w:w="4771" w:type="dxa"/>
            <w:gridSpan w:val="2"/>
          </w:tcPr>
          <w:p w:rsidR="00037D64" w:rsidRPr="006F6A48" w:rsidRDefault="00037D64" w:rsidP="00A46680">
            <w:pPr>
              <w:pStyle w:val="Normal1"/>
              <w:pBdr>
                <w:top w:val="nil"/>
                <w:left w:val="nil"/>
                <w:bottom w:val="nil"/>
                <w:right w:val="nil"/>
                <w:between w:val="nil"/>
              </w:pBdr>
              <w:jc w:val="center"/>
              <w:rPr>
                <w:rFonts w:ascii="Times New Roman" w:hAnsi="Times New Roman" w:cs="Times New Roman"/>
              </w:rPr>
            </w:pPr>
          </w:p>
        </w:tc>
        <w:tc>
          <w:tcPr>
            <w:tcW w:w="4517" w:type="dxa"/>
          </w:tcPr>
          <w:p w:rsidR="00037D64" w:rsidRPr="006F6A48" w:rsidRDefault="00037D64" w:rsidP="00A46680">
            <w:pPr>
              <w:pStyle w:val="Normal1"/>
              <w:pBdr>
                <w:top w:val="nil"/>
                <w:left w:val="nil"/>
                <w:bottom w:val="nil"/>
                <w:right w:val="nil"/>
                <w:between w:val="nil"/>
              </w:pBdr>
              <w:jc w:val="center"/>
              <w:rPr>
                <w:rFonts w:ascii="Times New Roman" w:hAnsi="Times New Roman" w:cs="Times New Roman"/>
              </w:rPr>
            </w:pPr>
          </w:p>
        </w:tc>
      </w:tr>
    </w:tbl>
    <w:p w:rsidR="00037D64" w:rsidRDefault="00037D64" w:rsidP="00037D64">
      <w:pPr>
        <w:pStyle w:val="Normal1"/>
        <w:pBdr>
          <w:top w:val="nil"/>
          <w:left w:val="nil"/>
          <w:bottom w:val="nil"/>
          <w:right w:val="nil"/>
          <w:between w:val="nil"/>
        </w:pBdr>
        <w:jc w:val="center"/>
        <w:rPr>
          <w:rFonts w:ascii="Times New Roman" w:hAnsi="Times New Roman" w:cs="Times New Roman"/>
        </w:rPr>
      </w:pPr>
    </w:p>
    <w:sectPr w:rsidR="00037D64" w:rsidSect="00D006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F4A3C"/>
    <w:multiLevelType w:val="hybridMultilevel"/>
    <w:tmpl w:val="F0FCAF0E"/>
    <w:lvl w:ilvl="0" w:tplc="FB9A0E46">
      <w:start w:val="3"/>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76101E48"/>
    <w:multiLevelType w:val="multilevel"/>
    <w:tmpl w:val="F56CD6B0"/>
    <w:lvl w:ilvl="0">
      <w:start w:val="1"/>
      <w:numFmt w:val="lowerLetter"/>
      <w:lvlText w:val="%1)"/>
      <w:lvlJc w:val="left"/>
      <w:rPr>
        <w:rFonts w:ascii="Times New Roman" w:eastAsia="Times New Roman" w:hAnsi="Times New Roman" w:cs="Times New Roman"/>
        <w:b/>
        <w:bCs w:val="0"/>
        <w:i w:val="0"/>
        <w:iCs w:val="0"/>
        <w:smallCaps w:val="0"/>
        <w:strike w:val="0"/>
        <w:color w:val="000000"/>
        <w:spacing w:val="4"/>
        <w:w w:val="100"/>
        <w:position w:val="0"/>
        <w:sz w:val="24"/>
        <w:szCs w:val="24"/>
        <w:u w:val="none"/>
      </w:rPr>
    </w:lvl>
    <w:lvl w:ilvl="1">
      <w:start w:val="15"/>
      <w:numFmt w:val="decimal"/>
      <w:lvlText w:val="%2."/>
      <w:lvlJc w:val="left"/>
      <w:rPr>
        <w:rFonts w:ascii="Times New Roman" w:eastAsia="Times New Roman" w:hAnsi="Times New Roman" w:cs="Times New Roman"/>
        <w:b/>
        <w:bCs/>
        <w:i w:val="0"/>
        <w:iCs w:val="0"/>
        <w:smallCaps w:val="0"/>
        <w:strike w:val="0"/>
        <w:color w:val="000000"/>
        <w:spacing w:val="2"/>
        <w:w w:val="100"/>
        <w:position w:val="0"/>
        <w:sz w:val="21"/>
        <w:szCs w:val="21"/>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2"/>
        <w:w w:val="100"/>
        <w:position w:val="0"/>
        <w:sz w:val="21"/>
        <w:szCs w:val="21"/>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37D64"/>
    <w:rsid w:val="00037D64"/>
    <w:rsid w:val="001B70C8"/>
    <w:rsid w:val="00233EE7"/>
    <w:rsid w:val="00292505"/>
    <w:rsid w:val="002F48C1"/>
    <w:rsid w:val="002F7D20"/>
    <w:rsid w:val="003D4DA2"/>
    <w:rsid w:val="0041456E"/>
    <w:rsid w:val="00475E10"/>
    <w:rsid w:val="004F742C"/>
    <w:rsid w:val="005D6123"/>
    <w:rsid w:val="00616218"/>
    <w:rsid w:val="007235A7"/>
    <w:rsid w:val="008C3FB2"/>
    <w:rsid w:val="00947A5D"/>
    <w:rsid w:val="00AF2662"/>
    <w:rsid w:val="00D006C0"/>
    <w:rsid w:val="00DE2BD6"/>
    <w:rsid w:val="00F4354A"/>
    <w:rsid w:val="00F47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7D64"/>
    <w:pPr>
      <w:widowControl w:val="0"/>
      <w:spacing w:after="0" w:line="240" w:lineRule="auto"/>
    </w:pPr>
    <w:rPr>
      <w:rFonts w:ascii="Arimo" w:eastAsia="Arimo" w:hAnsi="Arimo" w:cs="Arimo"/>
      <w:sz w:val="24"/>
      <w:szCs w:val="24"/>
    </w:rPr>
  </w:style>
  <w:style w:type="paragraph" w:styleId="NoSpacing">
    <w:name w:val="No Spacing"/>
    <w:link w:val="NoSpacingChar"/>
    <w:uiPriority w:val="1"/>
    <w:qFormat/>
    <w:rsid w:val="00037D64"/>
    <w:pPr>
      <w:spacing w:after="0" w:line="240" w:lineRule="auto"/>
    </w:pPr>
    <w:rPr>
      <w:rFonts w:ascii="Calibri" w:eastAsia="Calibri" w:hAnsi="Calibri" w:cs="Times New Roman"/>
    </w:rPr>
  </w:style>
  <w:style w:type="character" w:customStyle="1" w:styleId="NoSpacingChar">
    <w:name w:val="No Spacing Char"/>
    <w:link w:val="NoSpacing"/>
    <w:uiPriority w:val="1"/>
    <w:rsid w:val="00037D64"/>
    <w:rPr>
      <w:rFonts w:ascii="Calibri" w:eastAsia="Calibri" w:hAnsi="Calibri" w:cs="Times New Roman"/>
    </w:rPr>
  </w:style>
  <w:style w:type="table" w:styleId="TableGrid">
    <w:name w:val="Table Grid"/>
    <w:basedOn w:val="TableNormal"/>
    <w:uiPriority w:val="59"/>
    <w:rsid w:val="00037D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List Paragraph1"/>
    <w:basedOn w:val="Normal"/>
    <w:link w:val="ListParagraphChar"/>
    <w:uiPriority w:val="99"/>
    <w:qFormat/>
    <w:rsid w:val="00037D6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99"/>
    <w:locked/>
    <w:rsid w:val="00037D64"/>
    <w:rPr>
      <w:rFonts w:ascii="Times New Roman" w:eastAsia="Times New Roman" w:hAnsi="Times New Roman" w:cs="Times New Roman"/>
      <w:sz w:val="20"/>
      <w:szCs w:val="20"/>
    </w:rPr>
  </w:style>
  <w:style w:type="paragraph" w:customStyle="1" w:styleId="Default">
    <w:name w:val="Default"/>
    <w:rsid w:val="00037D6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rtttl">
    <w:name w:val="s_art_ttl"/>
    <w:basedOn w:val="Normal"/>
    <w:rsid w:val="00037D64"/>
    <w:pPr>
      <w:shd w:val="clear" w:color="auto" w:fill="FFFFFF"/>
      <w:spacing w:after="0" w:line="240" w:lineRule="auto"/>
      <w:jc w:val="both"/>
    </w:pPr>
    <w:rPr>
      <w:rFonts w:ascii="Verdana" w:eastAsia="Times New Roman" w:hAnsi="Verdana" w:cs="Times New Roman"/>
      <w:b/>
      <w:bCs/>
      <w:color w:val="24689B"/>
      <w:sz w:val="14"/>
      <w:szCs w:val="14"/>
      <w:lang w:val="en-US"/>
    </w:rPr>
  </w:style>
  <w:style w:type="character" w:customStyle="1" w:styleId="Bodytext">
    <w:name w:val="Body text_"/>
    <w:basedOn w:val="DefaultParagraphFont"/>
    <w:link w:val="Bodytext0"/>
    <w:rsid w:val="00037D64"/>
    <w:rPr>
      <w:rFonts w:ascii="Arial" w:hAnsi="Arial" w:cs="Arial"/>
      <w:b/>
      <w:bCs/>
      <w:spacing w:val="-10"/>
      <w:shd w:val="clear" w:color="auto" w:fill="FFFFFF"/>
    </w:rPr>
  </w:style>
  <w:style w:type="paragraph" w:customStyle="1" w:styleId="Bodytext0">
    <w:name w:val="Body text"/>
    <w:basedOn w:val="Normal"/>
    <w:link w:val="Bodytext"/>
    <w:rsid w:val="00037D64"/>
    <w:pPr>
      <w:shd w:val="clear" w:color="auto" w:fill="FFFFFF"/>
      <w:spacing w:before="540" w:after="0" w:line="417" w:lineRule="exact"/>
      <w:ind w:hanging="400"/>
    </w:pPr>
    <w:rPr>
      <w:rFonts w:ascii="Arial" w:hAnsi="Arial" w:cs="Arial"/>
      <w:b/>
      <w:bCs/>
      <w:spacing w:val="-1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2600</Words>
  <Characters>14821</Characters>
  <Application>Microsoft Office Word</Application>
  <DocSecurity>0</DocSecurity>
  <Lines>123</Lines>
  <Paragraphs>34</Paragraphs>
  <ScaleCrop>false</ScaleCrop>
  <Company/>
  <LinksUpToDate>false</LinksUpToDate>
  <CharactersWithSpaces>17387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AGhiulai</dc:creator>
  <cp:lastModifiedBy>apintea</cp:lastModifiedBy>
  <cp:revision>9</cp:revision>
  <cp:lastPrinted>2022-07-20T06:07:00Z</cp:lastPrinted>
  <dcterms:created xsi:type="dcterms:W3CDTF">2022-07-19T06:00:00Z</dcterms:created>
  <dcterms:modified xsi:type="dcterms:W3CDTF">2022-07-20T06:07:00Z</dcterms:modified>
</cp:coreProperties>
</file>