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C602F">
        <w:t>DOMINIC FRITZ</w:t>
      </w:r>
      <w:r w:rsidR="00110281" w:rsidRPr="000A10FA">
        <w:t xml:space="preserve"> 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="00701CDE" w:rsidRPr="00B92ED8">
        <w:t>................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BE7FCA">
        <w:t>euro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BE7FCA">
        <w:t>conform procesului verbal de adjudecare la licitație............................................................................</w:t>
      </w:r>
      <w:r w:rsidR="009115CA">
        <w:t xml:space="preserve">  </w:t>
      </w:r>
      <w:r w:rsidR="001B3478">
        <w:t xml:space="preserve">............................................................................................,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BE7FCA">
        <w:t>(doar la tarifele în lei)</w:t>
      </w:r>
      <w:r w:rsidRPr="000A10FA">
        <w:t xml:space="preserve">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lastRenderedPageBreak/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Pr="000A10FA">
        <w:t>ul chiriei calculat pentru 6 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</w:t>
      </w:r>
      <w:r w:rsidRPr="000A10FA">
        <w:lastRenderedPageBreak/>
        <w:t>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 xml:space="preserve">(9) Locatarul se obligă să elibereze/restituie bunul la expirarea/încetarea contractului de închiriere, din orice motiv, în starea în care l-a primit, şi este obligat să restituie locatorului, în deplină </w:t>
      </w:r>
      <w:r w:rsidRPr="000A10FA">
        <w:lastRenderedPageBreak/>
        <w:t>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 prin Autorizaţia de construire.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lastRenderedPageBreak/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Pr="000A10FA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FC602F" w:rsidP="001366D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1366DC" w:rsidRPr="00F45D40" w:rsidRDefault="001366DC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        </w:t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67092C">
      <w:footerReference w:type="even" r:id="rId10"/>
      <w:footerReference w:type="default" r:id="rId11"/>
      <w:pgSz w:w="11906" w:h="16838"/>
      <w:pgMar w:top="567" w:right="849" w:bottom="284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AB" w:rsidRDefault="006641AB" w:rsidP="00D81AEB">
      <w:r>
        <w:separator/>
      </w:r>
    </w:p>
  </w:endnote>
  <w:endnote w:type="continuationSeparator" w:id="1">
    <w:p w:rsidR="006641AB" w:rsidRDefault="006641AB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8B2012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8B2012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C602F"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>Municipiul Timisoara</w:t>
    </w:r>
  </w:p>
  <w:p w:rsidR="005C7E7E" w:rsidRPr="005C7E7E" w:rsidRDefault="00FC602F" w:rsidP="005C7E7E">
    <w:pPr>
      <w:pStyle w:val="Footer"/>
      <w:rPr>
        <w:sz w:val="18"/>
        <w:szCs w:val="18"/>
      </w:rPr>
    </w:pPr>
    <w:r>
      <w:rPr>
        <w:sz w:val="18"/>
        <w:szCs w:val="18"/>
      </w:rPr>
      <w:t>D. Patrimoniu</w:t>
    </w:r>
    <w:r w:rsidR="00C26C20">
      <w:rPr>
        <w:sz w:val="18"/>
        <w:szCs w:val="18"/>
      </w:rPr>
      <w:t xml:space="preserve"> – Compartiment SAD</w:t>
    </w:r>
  </w:p>
  <w:p w:rsidR="005C7E7E" w:rsidRPr="005C7E7E" w:rsidRDefault="0067092C" w:rsidP="005C7E7E">
    <w:pPr>
      <w:pStyle w:val="Footer"/>
      <w:rPr>
        <w:sz w:val="18"/>
        <w:szCs w:val="18"/>
      </w:rPr>
    </w:pPr>
    <w:r>
      <w:rPr>
        <w:sz w:val="18"/>
        <w:szCs w:val="18"/>
      </w:rPr>
      <w:t>Redactat:.......................</w:t>
    </w:r>
    <w:r w:rsidR="00324BB1">
      <w:rPr>
        <w:sz w:val="18"/>
        <w:szCs w:val="18"/>
      </w:rPr>
      <w:t xml:space="preserve">                                                                   </w:t>
    </w:r>
    <w:r w:rsidR="00093F72">
      <w:rPr>
        <w:sz w:val="18"/>
        <w:szCs w:val="18"/>
      </w:rPr>
      <w:t xml:space="preserve">       </w:t>
    </w:r>
    <w:r w:rsidR="00324BB1">
      <w:rPr>
        <w:sz w:val="18"/>
        <w:szCs w:val="18"/>
      </w:rPr>
      <w:t xml:space="preserve"> </w:t>
    </w:r>
    <w:r w:rsidR="005C7E7E"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AB" w:rsidRDefault="006641AB" w:rsidP="00D81AEB">
      <w:r>
        <w:separator/>
      </w:r>
    </w:p>
  </w:footnote>
  <w:footnote w:type="continuationSeparator" w:id="1">
    <w:p w:rsidR="006641AB" w:rsidRDefault="006641AB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11C0F"/>
    <w:rsid w:val="000163BE"/>
    <w:rsid w:val="00045C97"/>
    <w:rsid w:val="000513EA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816CA"/>
    <w:rsid w:val="001817E9"/>
    <w:rsid w:val="001A1DA8"/>
    <w:rsid w:val="001B3478"/>
    <w:rsid w:val="001F1986"/>
    <w:rsid w:val="001F1A96"/>
    <w:rsid w:val="002342E9"/>
    <w:rsid w:val="002372A6"/>
    <w:rsid w:val="00240DAF"/>
    <w:rsid w:val="002541AF"/>
    <w:rsid w:val="002611D1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20DAE"/>
    <w:rsid w:val="00324BB1"/>
    <w:rsid w:val="0034142A"/>
    <w:rsid w:val="00370215"/>
    <w:rsid w:val="00392775"/>
    <w:rsid w:val="003944C0"/>
    <w:rsid w:val="003A0BB8"/>
    <w:rsid w:val="003A5EB4"/>
    <w:rsid w:val="003B1970"/>
    <w:rsid w:val="003B3B45"/>
    <w:rsid w:val="003B7983"/>
    <w:rsid w:val="003C23D1"/>
    <w:rsid w:val="003E0B10"/>
    <w:rsid w:val="003E5C04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F4DF2"/>
    <w:rsid w:val="00510DAC"/>
    <w:rsid w:val="00512916"/>
    <w:rsid w:val="00514D13"/>
    <w:rsid w:val="0051619C"/>
    <w:rsid w:val="00521AC1"/>
    <w:rsid w:val="00521AF6"/>
    <w:rsid w:val="00542598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57E1E"/>
    <w:rsid w:val="006636B0"/>
    <w:rsid w:val="006641AB"/>
    <w:rsid w:val="0067092C"/>
    <w:rsid w:val="006B0FB6"/>
    <w:rsid w:val="006C256D"/>
    <w:rsid w:val="006C6FBC"/>
    <w:rsid w:val="006E386D"/>
    <w:rsid w:val="006E4F20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B2012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D3771"/>
    <w:rsid w:val="00A05AEF"/>
    <w:rsid w:val="00A17CE3"/>
    <w:rsid w:val="00A50576"/>
    <w:rsid w:val="00A574F6"/>
    <w:rsid w:val="00A65262"/>
    <w:rsid w:val="00A71A43"/>
    <w:rsid w:val="00A76044"/>
    <w:rsid w:val="00A82C2E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CF2826"/>
    <w:rsid w:val="00D02ED8"/>
    <w:rsid w:val="00D04402"/>
    <w:rsid w:val="00D063C3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F00A08"/>
    <w:rsid w:val="00F02351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6EB2"/>
    <w:rsid w:val="00FC602F"/>
    <w:rsid w:val="00FD0BCC"/>
    <w:rsid w:val="00FE3F9B"/>
    <w:rsid w:val="00FE4EEC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3CE25-2B37-474A-92D9-948F2F5F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2</cp:revision>
  <cp:lastPrinted>2020-05-19T09:26:00Z</cp:lastPrinted>
  <dcterms:created xsi:type="dcterms:W3CDTF">2022-12-08T12:14:00Z</dcterms:created>
  <dcterms:modified xsi:type="dcterms:W3CDTF">2022-12-08T12:14:00Z</dcterms:modified>
</cp:coreProperties>
</file>