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ROMÂNIA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JUDETUL TIMIŞ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PRIMĂRIA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DIRECŢIA DEZVOLTARE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NR. SC2019- </w:t>
      </w:r>
    </w:p>
    <w:p w:rsidR="004E78FD" w:rsidRDefault="004E78FD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</w:p>
    <w:p w:rsidR="004E78FD" w:rsidRDefault="00650F42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4E78FD" w:rsidRDefault="00650F42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privind aprobarea cererii de finanţare "Îmbunătăţirea eficienţei energetice a sectorului rezidenţial prin reabilitare </w:t>
      </w:r>
      <w:r>
        <w:rPr>
          <w:rFonts w:ascii="Times New Roman" w:hAnsi="Times New Roman"/>
          <w:sz w:val="24"/>
          <w:szCs w:val="24"/>
          <w:lang w:val="ro-RO"/>
        </w:rPr>
        <w:t>termică a blocurilor de locuinţe: str.C.Brediceanu nr.13-15; Calea Torontalului nr.14; str.Dropiei nr.7; str.Dâmbovița nr.22/A", cod SMIS 121587 şi a cheltuielilor aferente</w:t>
      </w:r>
    </w:p>
    <w:p w:rsidR="004E78FD" w:rsidRDefault="004E78FD" w:rsidP="007B2307">
      <w:pPr>
        <w:spacing w:after="0"/>
        <w:ind w:right="1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E78FD" w:rsidRDefault="00650F42" w:rsidP="007B2307">
      <w:pPr>
        <w:spacing w:after="0"/>
        <w:ind w:right="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Având în vedere Expunerea de motive nr. _____________________ a Primarului Municip</w:t>
      </w:r>
      <w:r>
        <w:rPr>
          <w:rFonts w:ascii="Times New Roman" w:hAnsi="Times New Roman"/>
          <w:sz w:val="24"/>
          <w:szCs w:val="24"/>
          <w:lang w:val="ro-RO"/>
        </w:rPr>
        <w:t>iului Timişoara şi Proiectul de hotărâre privind aprobarea cererii de finanţare "Îmbunătăţirea eficienţei energetice a sectorului rezidenţial prin reabilitare termică a blocurilor de locuinţe: str.C.Brediceanu nr.13-15; Calea Torontalului nr.14; str.Dropie</w:t>
      </w:r>
      <w:r>
        <w:rPr>
          <w:rFonts w:ascii="Times New Roman" w:hAnsi="Times New Roman"/>
          <w:sz w:val="24"/>
          <w:szCs w:val="24"/>
          <w:lang w:val="ro-RO"/>
        </w:rPr>
        <w:t>i nr.7; str.Dâmbovița nr.22/A", cod SMIS 121587  şi a cheltuielilor aferente,  prin care se propune:</w:t>
      </w:r>
    </w:p>
    <w:p w:rsidR="004E78FD" w:rsidRDefault="00650F42" w:rsidP="007B2307">
      <w:pPr>
        <w:numPr>
          <w:ilvl w:val="0"/>
          <w:numId w:val="1"/>
        </w:numPr>
        <w:spacing w:after="0" w:line="240" w:lineRule="auto"/>
        <w:ind w:left="284" w:hanging="284"/>
      </w:pPr>
      <w:r>
        <w:rPr>
          <w:rFonts w:ascii="Times New Roman" w:hAnsi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cererea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finanțare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titlul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Îmbunătăţirea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eficienţei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energetice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sectorului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rezidenţial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reabilitare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termică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blocurilor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tr.C.Brediceanu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nr.13-15;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Calea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Torontalului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nr.14;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str.Dropiei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nr.7;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str.Dâmbovița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nr.22/A",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depusă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Programului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Operațional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Regional 2014-2020,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Axa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prioritară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Sprijinirea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tranziţiei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economie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emisii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scăzute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carbon,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Prioritatea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investiţii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3.1 -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Sprijinirea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eficienţei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energetice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gestionării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inteligente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utilizării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surse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regenerabile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infrastructurile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clădirile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sectorul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locuinţelor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Operaţiunea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rezide</w:t>
      </w:r>
      <w:r>
        <w:rPr>
          <w:rFonts w:ascii="Times New Roman" w:hAnsi="Times New Roman"/>
          <w:color w:val="000000"/>
          <w:sz w:val="24"/>
          <w:szCs w:val="24"/>
        </w:rPr>
        <w:t>nţiale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E78FD" w:rsidRDefault="00650F42" w:rsidP="007B2307">
      <w:pPr>
        <w:numPr>
          <w:ilvl w:val="0"/>
          <w:numId w:val="1"/>
        </w:numPr>
        <w:spacing w:after="0" w:line="240" w:lineRule="auto"/>
        <w:ind w:left="284" w:hanging="284"/>
      </w:pPr>
      <w:r>
        <w:rPr>
          <w:rFonts w:ascii="Times New Roman" w:hAnsi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totală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Îmbunătăţirea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eficienţei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energetice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sectorului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rezidenţial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reabilitare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termică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blocurilor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str.C.Brediceanu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nr.13-15;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Calea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Torontalului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nr.14;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str.Dropiei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nr.7;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str.Dâmbovița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nr.22/A", </w:t>
      </w:r>
      <w:r>
        <w:rPr>
          <w:rFonts w:ascii="Times New Roman" w:hAnsi="Times New Roman"/>
          <w:color w:val="000000"/>
          <w:sz w:val="24"/>
          <w:szCs w:val="24"/>
        </w:rPr>
        <w:t xml:space="preserve">cod SMIS  121587,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cuantum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7.587.740,66  lei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TVA), din care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totală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eligibilă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4.223.970,19 lei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totală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neeligibilă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3.363.770,47  lei.</w:t>
      </w:r>
    </w:p>
    <w:p w:rsidR="004E78FD" w:rsidRDefault="00650F42" w:rsidP="007B2307">
      <w:pPr>
        <w:numPr>
          <w:ilvl w:val="0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alocarea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local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contribuției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proprii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imișoara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cuantum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5.053.358,55 lei,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reprezentând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achitarea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tuturor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neeligibile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cât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contribuția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40% din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eligibilă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cuantum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1.689.588,08 lei,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reprezentând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cofinanțarea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Îmbună</w:t>
      </w:r>
      <w:r>
        <w:rPr>
          <w:rFonts w:ascii="Times New Roman" w:hAnsi="Times New Roman"/>
          <w:color w:val="000000"/>
          <w:sz w:val="24"/>
          <w:szCs w:val="24"/>
        </w:rPr>
        <w:t>tăţirea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eficienţei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energetice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sectorului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rezidenţial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reabilitare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termică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blocurilor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str.C.Brediceanu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nr.13-15;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Calea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Torontalului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nr.14;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str.Dropiei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nr.7;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str.Dâmbovița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nr.22/A", cod SMIS  121587.</w:t>
      </w:r>
    </w:p>
    <w:p w:rsidR="004E78FD" w:rsidRDefault="00650F42" w:rsidP="007B2307">
      <w:pPr>
        <w:numPr>
          <w:ilvl w:val="0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efectuarea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tuturor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cheltuie</w:t>
      </w:r>
      <w:r>
        <w:rPr>
          <w:rFonts w:ascii="Times New Roman" w:hAnsi="Times New Roman"/>
          <w:color w:val="000000"/>
          <w:sz w:val="24"/>
          <w:szCs w:val="24"/>
        </w:rPr>
        <w:t>lilor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necesare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implementarea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componentelor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cererii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finanţare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condiţiile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rambursării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decontării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eligibile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instrumente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structurale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E78FD" w:rsidRDefault="00650F42" w:rsidP="007B2307">
      <w:pPr>
        <w:numPr>
          <w:ilvl w:val="0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recuperarea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contribuției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revine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asociațiilor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proprieta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cuantum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2.780.341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,24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lei,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Local  nr. 29 din data: 25.01.2017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instituirea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taxei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reabilitare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termică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mecanismului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recuperare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sumelor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avansate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blocurile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finanţate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Programul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Operaţional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Regional 2014-2020,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reprezentând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4E78FD" w:rsidRDefault="00650F42" w:rsidP="007B2307">
      <w:pPr>
        <w:spacing w:before="120" w:after="120" w:line="240" w:lineRule="auto"/>
        <w:ind w:left="709"/>
        <w:jc w:val="both"/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contribuţia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asociaţiei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cheltuielile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eligibile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cuantum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990.087,00 lei;</w:t>
      </w:r>
    </w:p>
    <w:p w:rsidR="004E78FD" w:rsidRDefault="00650F42" w:rsidP="007B2307">
      <w:pPr>
        <w:spacing w:after="0" w:line="240" w:lineRule="auto"/>
        <w:ind w:left="709"/>
        <w:jc w:val="both"/>
      </w:pPr>
      <w:proofErr w:type="gramStart"/>
      <w:r>
        <w:rPr>
          <w:rFonts w:ascii="Courier New" w:hAnsi="Courier New" w:cs="Courier New"/>
          <w:bCs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contribuţia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asociaţiei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proprietari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cheltuielile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ne</w:t>
      </w:r>
      <w:r>
        <w:rPr>
          <w:rFonts w:ascii="Times New Roman" w:hAnsi="Times New Roman"/>
          <w:bCs/>
          <w:color w:val="000000"/>
          <w:sz w:val="24"/>
          <w:szCs w:val="24"/>
        </w:rPr>
        <w:t>eligibile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cuantum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de 1.790.254,24 lei.</w:t>
      </w:r>
    </w:p>
    <w:p w:rsidR="004E78FD" w:rsidRDefault="004E78FD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sz w:val="24"/>
        </w:rPr>
      </w:pPr>
    </w:p>
    <w:p w:rsidR="004E78FD" w:rsidRDefault="00650F42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Obiectivul</w:t>
      </w:r>
      <w:proofErr w:type="spellEnd"/>
      <w:r>
        <w:rPr>
          <w:rFonts w:ascii="Times New Roman" w:hAnsi="Times New Roman"/>
          <w:sz w:val="24"/>
        </w:rPr>
        <w:t xml:space="preserve"> general al </w:t>
      </w:r>
      <w:proofErr w:type="spellStart"/>
      <w:r>
        <w:rPr>
          <w:rFonts w:ascii="Times New Roman" w:hAnsi="Times New Roman"/>
          <w:sz w:val="24"/>
        </w:rPr>
        <w:t>proiectului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reprezintă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creşterea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eficienţei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energetice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blocurile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locuinţe</w:t>
      </w:r>
      <w:proofErr w:type="spellEnd"/>
      <w:r>
        <w:rPr>
          <w:rFonts w:ascii="Times New Roman" w:hAnsi="Times New Roman"/>
          <w:sz w:val="24"/>
        </w:rPr>
        <w:t xml:space="preserve"> din </w:t>
      </w:r>
      <w:proofErr w:type="spellStart"/>
      <w:r>
        <w:rPr>
          <w:rFonts w:ascii="Times New Roman" w:hAnsi="Times New Roman"/>
          <w:sz w:val="24"/>
        </w:rPr>
        <w:t>Municipiul</w:t>
      </w:r>
      <w:proofErr w:type="spellEnd"/>
      <w:r>
        <w:rPr>
          <w:rFonts w:ascii="Times New Roman" w:hAnsi="Times New Roman"/>
          <w:sz w:val="24"/>
        </w:rPr>
        <w:t xml:space="preserve"> Timisoara, </w:t>
      </w:r>
      <w:proofErr w:type="spellStart"/>
      <w:r>
        <w:rPr>
          <w:rFonts w:ascii="Times New Roman" w:hAnsi="Times New Roman"/>
          <w:sz w:val="24"/>
        </w:rPr>
        <w:t>prin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lucrări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intervenţie</w:t>
      </w:r>
      <w:proofErr w:type="spellEnd"/>
      <w:r>
        <w:rPr>
          <w:rFonts w:ascii="Times New Roman" w:hAnsi="Times New Roman"/>
          <w:sz w:val="24"/>
        </w:rPr>
        <w:t xml:space="preserve"> care </w:t>
      </w:r>
      <w:proofErr w:type="spellStart"/>
      <w:r>
        <w:rPr>
          <w:rFonts w:ascii="Times New Roman" w:hAnsi="Times New Roman"/>
          <w:sz w:val="24"/>
        </w:rPr>
        <w:t>determină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diminuarea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consumurilor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energetice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pentru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încalzirea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apartamentelo</w:t>
      </w:r>
      <w:r>
        <w:rPr>
          <w:rFonts w:ascii="Times New Roman" w:hAnsi="Times New Roman"/>
          <w:sz w:val="24"/>
        </w:rPr>
        <w:t>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condiţiile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asigurării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şi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menţinerii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climatului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termic</w:t>
      </w:r>
      <w:proofErr w:type="spellEnd"/>
      <w:r>
        <w:rPr>
          <w:rFonts w:ascii="Times New Roman" w:hAnsi="Times New Roman"/>
          <w:sz w:val="24"/>
        </w:rPr>
        <w:t xml:space="preserve"> interior, </w:t>
      </w:r>
      <w:proofErr w:type="spellStart"/>
      <w:r>
        <w:rPr>
          <w:rFonts w:ascii="Times New Roman" w:hAnsi="Times New Roman"/>
          <w:sz w:val="24"/>
        </w:rPr>
        <w:t>prin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limitarea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pierderilor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căldură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către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mediul</w:t>
      </w:r>
      <w:proofErr w:type="spellEnd"/>
      <w:r>
        <w:rPr>
          <w:rFonts w:ascii="Times New Roman" w:hAnsi="Times New Roman"/>
          <w:sz w:val="24"/>
        </w:rPr>
        <w:t xml:space="preserve"> exterior </w:t>
      </w:r>
      <w:proofErr w:type="spellStart"/>
      <w:r>
        <w:rPr>
          <w:rFonts w:ascii="Times New Roman" w:hAnsi="Times New Roman"/>
          <w:sz w:val="24"/>
        </w:rPr>
        <w:t>precum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şi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ameliorarea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aspectului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urbanistic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localităţii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</w:rPr>
        <w:t>Investiţiile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eficienţa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energetică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blocurilor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locuinţe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contribui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astfel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reducerea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emisiilor</w:t>
      </w:r>
      <w:proofErr w:type="spellEnd"/>
      <w:r>
        <w:rPr>
          <w:rFonts w:ascii="Times New Roman" w:hAnsi="Times New Roman"/>
          <w:sz w:val="24"/>
        </w:rPr>
        <w:t xml:space="preserve"> de CO2, la </w:t>
      </w:r>
      <w:proofErr w:type="spellStart"/>
      <w:r>
        <w:rPr>
          <w:rFonts w:ascii="Times New Roman" w:hAnsi="Times New Roman"/>
          <w:sz w:val="24"/>
        </w:rPr>
        <w:t>reducerea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sărăciei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energetice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România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reducerea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costurilor</w:t>
      </w:r>
      <w:proofErr w:type="spellEnd"/>
      <w:r>
        <w:rPr>
          <w:rFonts w:ascii="Times New Roman" w:hAnsi="Times New Roman"/>
          <w:sz w:val="24"/>
        </w:rPr>
        <w:t xml:space="preserve"> cu </w:t>
      </w:r>
      <w:proofErr w:type="spellStart"/>
      <w:r>
        <w:rPr>
          <w:rFonts w:ascii="Times New Roman" w:hAnsi="Times New Roman"/>
          <w:sz w:val="24"/>
        </w:rPr>
        <w:t>încălzirea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populaţiei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contribuind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îmbunătăţirea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puterii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cumpărare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tuturor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categoriilor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inclusiv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categoriilor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sociale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defavo</w:t>
      </w:r>
      <w:r>
        <w:rPr>
          <w:rFonts w:ascii="Times New Roman" w:hAnsi="Times New Roman"/>
          <w:sz w:val="24"/>
        </w:rPr>
        <w:t>rizate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4E78FD" w:rsidRDefault="004E78FD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sz w:val="24"/>
        </w:rPr>
      </w:pPr>
    </w:p>
    <w:p w:rsidR="004E78FD" w:rsidRDefault="00650F42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Implementarea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măsurilor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eficienţă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energetică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blocurile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locuinţe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va</w:t>
      </w:r>
      <w:proofErr w:type="spellEnd"/>
      <w:proofErr w:type="gramEnd"/>
      <w:r>
        <w:rPr>
          <w:rFonts w:ascii="Times New Roman" w:hAnsi="Times New Roman"/>
          <w:sz w:val="24"/>
        </w:rPr>
        <w:t xml:space="preserve"> duce la </w:t>
      </w:r>
      <w:proofErr w:type="spellStart"/>
      <w:r>
        <w:rPr>
          <w:rFonts w:ascii="Times New Roman" w:hAnsi="Times New Roman"/>
          <w:sz w:val="24"/>
        </w:rPr>
        <w:t>atingerea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următoarelor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obiective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specifice</w:t>
      </w:r>
      <w:proofErr w:type="spellEnd"/>
      <w:r>
        <w:rPr>
          <w:rFonts w:ascii="Times New Roman" w:hAnsi="Times New Roman"/>
          <w:sz w:val="24"/>
        </w:rPr>
        <w:t>:</w:t>
      </w:r>
    </w:p>
    <w:p w:rsidR="004E78FD" w:rsidRDefault="00650F42">
      <w:pPr>
        <w:numPr>
          <w:ilvl w:val="0"/>
          <w:numId w:val="2"/>
        </w:numPr>
        <w:tabs>
          <w:tab w:val="clear" w:pos="720"/>
          <w:tab w:val="decimal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sz w:val="24"/>
          <w:szCs w:val="20"/>
        </w:rPr>
        <w:t>Îmbunătăţirea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condiţiilor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confort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termic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interior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clădirile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rezidenţiale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/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apartamentele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supuse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reabilitării</w:t>
      </w:r>
      <w:proofErr w:type="spellEnd"/>
      <w:r>
        <w:rPr>
          <w:rFonts w:ascii="Times New Roman" w:eastAsia="Times New Roman" w:hAnsi="Times New Roman"/>
          <w:sz w:val="24"/>
          <w:szCs w:val="20"/>
        </w:rPr>
        <w:t>.</w:t>
      </w:r>
    </w:p>
    <w:p w:rsidR="004E78FD" w:rsidRDefault="00650F42">
      <w:pPr>
        <w:numPr>
          <w:ilvl w:val="0"/>
          <w:numId w:val="2"/>
        </w:numPr>
        <w:tabs>
          <w:tab w:val="clear" w:pos="720"/>
          <w:tab w:val="decimal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sz w:val="24"/>
          <w:szCs w:val="20"/>
        </w:rPr>
        <w:t>Creșterea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eficienţei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energetice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clădirile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fac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obiectul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proiectului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. </w:t>
      </w:r>
    </w:p>
    <w:p w:rsidR="004E78FD" w:rsidRDefault="00650F42">
      <w:pPr>
        <w:numPr>
          <w:ilvl w:val="0"/>
          <w:numId w:val="2"/>
        </w:numPr>
        <w:tabs>
          <w:tab w:val="clear" w:pos="720"/>
          <w:tab w:val="decimal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sz w:val="24"/>
          <w:szCs w:val="20"/>
        </w:rPr>
        <w:t>Creșterea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nivelului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protecţie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mediului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înconjurător</w:t>
      </w:r>
      <w:proofErr w:type="spellEnd"/>
      <w:r>
        <w:rPr>
          <w:rFonts w:ascii="Times New Roman" w:eastAsia="Times New Roman" w:hAnsi="Times New Roman"/>
          <w:sz w:val="24"/>
          <w:szCs w:val="20"/>
        </w:rPr>
        <w:t>.</w:t>
      </w:r>
    </w:p>
    <w:p w:rsidR="004E78FD" w:rsidRDefault="004E78FD">
      <w:pPr>
        <w:spacing w:after="0"/>
        <w:ind w:right="-31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E78FD" w:rsidRDefault="00650F42" w:rsidP="007B2307">
      <w:pPr>
        <w:spacing w:after="0"/>
        <w:ind w:right="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 a realiza activităţile propuse în cererea de finanțare cu titlul "Îmbunătăţirea eficienţei energetice a sectorul</w:t>
      </w:r>
      <w:r>
        <w:rPr>
          <w:rFonts w:ascii="Times New Roman" w:hAnsi="Times New Roman"/>
          <w:sz w:val="24"/>
          <w:szCs w:val="24"/>
          <w:lang w:val="ro-RO"/>
        </w:rPr>
        <w:t xml:space="preserve">ui rezidenţial prin reabilitare termică a blocurilor de locuinţe: str.C.Brediceanu nr.13-15; Calea Torontalului nr.14; str.Dropiei nr.7; str.Dâmbovița nr.22/A", este posibilă accesarea de fonduri nerambursabile în cadrul Programului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Operațional 2014-2020,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cu respectarea criteriilor de eligibilitate stabilite de finanţator,  </w:t>
      </w:r>
      <w:r>
        <w:rPr>
          <w:rFonts w:ascii="Times New Roman" w:hAnsi="Times New Roman"/>
          <w:sz w:val="24"/>
          <w:szCs w:val="24"/>
          <w:lang w:val="ro-RO"/>
        </w:rPr>
        <w:t>în temeiul actelor normative menţionate în preambulul Proiectului de hotărâre. Î</w:t>
      </w:r>
      <w:r>
        <w:rPr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cerințele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ghidul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apelului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POR/173/3/1/Creșterea e</w:t>
      </w:r>
      <w:r>
        <w:rPr>
          <w:rFonts w:ascii="Times New Roman" w:hAnsi="Times New Roman"/>
          <w:sz w:val="24"/>
          <w:szCs w:val="24"/>
          <w:lang w:val="ro-RO"/>
        </w:rPr>
        <w:t xml:space="preserve">ficienței energetice în clădirile rezidențiale, clădirile publice și sistemele de iluminat public, îndeosebi a celor care înregistrează consumuri energetice mari, </w:t>
      </w:r>
      <w:r>
        <w:rPr>
          <w:rFonts w:ascii="Times New Roman" w:hAnsi="Times New Roman"/>
          <w:sz w:val="24"/>
          <w:szCs w:val="24"/>
        </w:rPr>
        <w:t xml:space="preserve">cu  </w:t>
      </w:r>
      <w:proofErr w:type="spellStart"/>
      <w:r>
        <w:rPr>
          <w:rFonts w:ascii="Times New Roman" w:hAnsi="Times New Roman"/>
          <w:sz w:val="24"/>
          <w:szCs w:val="24"/>
        </w:rPr>
        <w:t>declarația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angajament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precum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ultima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</w:t>
      </w:r>
      <w:r>
        <w:rPr>
          <w:rFonts w:ascii="Times New Roman" w:hAnsi="Times New Roman"/>
          <w:sz w:val="24"/>
          <w:szCs w:val="24"/>
          <w:lang w:val="ro-RO"/>
        </w:rPr>
        <w:t>ererii de finanțare "Îmbunătăţirea eficienţei energetice a sectorului rezidenţial prin reabilitare termică a blocurilor de locuinţe: str.C.Brediceanu nr.13-15; Calea Torontalului nr.14; str.Dropiei nr.7; str.Dâmbovița nr.22/A", cod SMIS 121587   şi a chelt</w:t>
      </w:r>
      <w:r>
        <w:rPr>
          <w:rFonts w:ascii="Times New Roman" w:hAnsi="Times New Roman"/>
          <w:sz w:val="24"/>
          <w:szCs w:val="24"/>
          <w:lang w:val="ro-RO"/>
        </w:rPr>
        <w:t>uielilor aferente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E78FD" w:rsidRDefault="004E78FD">
      <w:pPr>
        <w:spacing w:after="0"/>
        <w:ind w:right="46"/>
        <w:jc w:val="both"/>
        <w:rPr>
          <w:rFonts w:ascii="Times New Roman" w:hAnsi="Times New Roman"/>
          <w:sz w:val="24"/>
          <w:szCs w:val="24"/>
        </w:rPr>
      </w:pPr>
    </w:p>
    <w:p w:rsidR="004E78FD" w:rsidRDefault="00650F42" w:rsidP="007B2307">
      <w:pPr>
        <w:spacing w:after="0"/>
        <w:ind w:right="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 au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incluse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solicitantul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trebuie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asigure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componentelor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cererii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finanţare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rambursării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decontării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eligibile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instrumente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structurale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recuperarii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asociatiile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proprietari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care le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cheltuieli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eligibile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neeligibile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4E78FD" w:rsidRDefault="004E78FD">
      <w:pPr>
        <w:spacing w:after="0"/>
        <w:ind w:right="-375"/>
        <w:jc w:val="both"/>
        <w:rPr>
          <w:rFonts w:ascii="Times New Roman" w:hAnsi="Times New Roman"/>
          <w:sz w:val="24"/>
          <w:szCs w:val="24"/>
        </w:rPr>
      </w:pPr>
    </w:p>
    <w:p w:rsidR="004E78FD" w:rsidRDefault="00650F42" w:rsidP="007B2307">
      <w:pPr>
        <w:spacing w:after="0"/>
        <w:ind w:right="1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expuse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apreciem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</w:t>
      </w:r>
      <w:r>
        <w:rPr>
          <w:rFonts w:ascii="Times New Roman" w:hAnsi="Times New Roman"/>
          <w:sz w:val="24"/>
          <w:szCs w:val="24"/>
        </w:rPr>
        <w:t>ărâre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cererii de "Îmbunătăţirea eficienţei energetice a sectorului rezidenţial prin reabilitare termică a blocurilor de locuinţe: str.C.Brediceanu nr.13-15; Calea Torontalului nr.14; str.Dropiei nr.7; str.Dâmbovița nr.22/A"</w:t>
      </w:r>
      <w:proofErr w:type="gramStart"/>
      <w:r>
        <w:rPr>
          <w:rFonts w:ascii="Times New Roman" w:hAnsi="Times New Roman"/>
          <w:sz w:val="24"/>
          <w:szCs w:val="24"/>
          <w:lang w:val="ro-RO"/>
        </w:rPr>
        <w:t>,  cod</w:t>
      </w:r>
      <w:proofErr w:type="gramEnd"/>
      <w:r>
        <w:rPr>
          <w:rFonts w:ascii="Times New Roman" w:hAnsi="Times New Roman"/>
          <w:sz w:val="24"/>
          <w:szCs w:val="24"/>
          <w:lang w:val="ro-RO"/>
        </w:rPr>
        <w:t xml:space="preserve"> SMIS 121</w:t>
      </w:r>
      <w:r>
        <w:rPr>
          <w:rFonts w:ascii="Times New Roman" w:hAnsi="Times New Roman"/>
          <w:sz w:val="24"/>
          <w:szCs w:val="24"/>
          <w:lang w:val="ro-RO"/>
        </w:rPr>
        <w:t>587  și a cheltuielilor aferente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dezbaterii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plenului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local. </w:t>
      </w:r>
    </w:p>
    <w:p w:rsidR="004E78FD" w:rsidRDefault="00650F42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A282C" w:rsidRDefault="007A282C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4E78FD" w:rsidRDefault="00650F42">
      <w:pPr>
        <w:spacing w:after="0"/>
        <w:ind w:right="-314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Şef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G.M.P.F.I.N.L.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Intocmit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4E78FD" w:rsidRDefault="00650F42">
      <w:pPr>
        <w:spacing w:after="0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/>
          <w:sz w:val="24"/>
          <w:szCs w:val="24"/>
        </w:rPr>
        <w:t>Nicoară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Malac</w:t>
      </w:r>
      <w:proofErr w:type="spellEnd"/>
      <w:r>
        <w:rPr>
          <w:rFonts w:ascii="Times New Roman" w:hAnsi="Times New Roman"/>
          <w:sz w:val="24"/>
          <w:szCs w:val="24"/>
        </w:rPr>
        <w:t xml:space="preserve"> Marcel</w:t>
      </w:r>
    </w:p>
    <w:p w:rsidR="004E78FD" w:rsidRDefault="004E78FD">
      <w:pPr>
        <w:spacing w:after="0"/>
        <w:ind w:right="-314"/>
        <w:rPr>
          <w:rFonts w:ascii="Times New Roman" w:hAnsi="Times New Roman"/>
          <w:sz w:val="24"/>
          <w:szCs w:val="24"/>
        </w:rPr>
      </w:pPr>
    </w:p>
    <w:p w:rsidR="004E78FD" w:rsidRDefault="00650F42">
      <w:pPr>
        <w:spacing w:after="0"/>
        <w:ind w:right="-314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4E78FD" w:rsidSect="007A282C">
      <w:footerReference w:type="default" r:id="rId8"/>
      <w:pgSz w:w="11907" w:h="16839" w:code="9"/>
      <w:pgMar w:top="426" w:right="900" w:bottom="777" w:left="1417" w:header="0" w:footer="72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8FD" w:rsidRDefault="004E78FD" w:rsidP="004E78FD">
      <w:pPr>
        <w:spacing w:after="0" w:line="240" w:lineRule="auto"/>
      </w:pPr>
      <w:r>
        <w:separator/>
      </w:r>
    </w:p>
  </w:endnote>
  <w:endnote w:type="continuationSeparator" w:id="0">
    <w:p w:rsidR="004E78FD" w:rsidRDefault="004E78FD" w:rsidP="004E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8FD" w:rsidRDefault="004E78FD">
    <w:pPr>
      <w:pStyle w:val="Footer"/>
      <w:jc w:val="center"/>
    </w:pPr>
    <w:r>
      <w:fldChar w:fldCharType="begin"/>
    </w:r>
    <w:r w:rsidR="00650F42">
      <w:instrText>PAGE</w:instrText>
    </w:r>
    <w:r>
      <w:fldChar w:fldCharType="separate"/>
    </w:r>
    <w:r w:rsidR="00650F42">
      <w:rPr>
        <w:noProof/>
      </w:rPr>
      <w:t>1</w:t>
    </w:r>
    <w:r>
      <w:fldChar w:fldCharType="end"/>
    </w:r>
  </w:p>
  <w:p w:rsidR="004E78FD" w:rsidRDefault="004E78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8FD" w:rsidRDefault="004E78FD" w:rsidP="004E78FD">
      <w:pPr>
        <w:spacing w:after="0" w:line="240" w:lineRule="auto"/>
      </w:pPr>
      <w:r>
        <w:separator/>
      </w:r>
    </w:p>
  </w:footnote>
  <w:footnote w:type="continuationSeparator" w:id="0">
    <w:p w:rsidR="004E78FD" w:rsidRDefault="004E78FD" w:rsidP="004E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6DC"/>
    <w:multiLevelType w:val="multilevel"/>
    <w:tmpl w:val="E6D40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E132C49"/>
    <w:multiLevelType w:val="multilevel"/>
    <w:tmpl w:val="529463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E55F8"/>
    <w:multiLevelType w:val="multilevel"/>
    <w:tmpl w:val="C9CC2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8FD"/>
    <w:rsid w:val="004E78FD"/>
    <w:rsid w:val="00650F42"/>
    <w:rsid w:val="007A282C"/>
    <w:rsid w:val="007B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7426"/>
  </w:style>
  <w:style w:type="character" w:customStyle="1" w:styleId="FooterChar">
    <w:name w:val="Footer Char"/>
    <w:basedOn w:val="DefaultParagraphFont"/>
    <w:link w:val="Footer"/>
    <w:uiPriority w:val="99"/>
    <w:qFormat/>
    <w:rsid w:val="009E7426"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A57A05"/>
    <w:rPr>
      <w:rFonts w:ascii="Courier New" w:eastAsia="Times New Roman" w:hAnsi="Courier New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qFormat/>
    <w:rsid w:val="001D3C18"/>
  </w:style>
  <w:style w:type="character" w:customStyle="1" w:styleId="FootnoteCharacters">
    <w:name w:val="Footnote Characters"/>
    <w:link w:val="BVIfnrChar1Char"/>
    <w:qFormat/>
    <w:rsid w:val="001D3C18"/>
    <w:rPr>
      <w:vertAlign w:val="superscript"/>
    </w:rPr>
  </w:style>
  <w:style w:type="character" w:customStyle="1" w:styleId="FootnoteAnchor">
    <w:name w:val="Footnote Anchor"/>
    <w:rsid w:val="004E78FD"/>
    <w:rPr>
      <w:vertAlign w:val="superscript"/>
    </w:rPr>
  </w:style>
  <w:style w:type="character" w:customStyle="1" w:styleId="FootnoteTextChar1">
    <w:name w:val="Footnote Text Char1"/>
    <w:link w:val="FootnoteText"/>
    <w:qFormat/>
    <w:rsid w:val="001D3C18"/>
    <w:rPr>
      <w:rFonts w:ascii="Trebuchet MS" w:eastAsia="Times New Roman" w:hAnsi="Trebuchet MS"/>
      <w:sz w:val="16"/>
      <w:lang w:val="ro-RO"/>
    </w:rPr>
  </w:style>
  <w:style w:type="character" w:customStyle="1" w:styleId="ListLabel1">
    <w:name w:val="ListLabel 1"/>
    <w:qFormat/>
    <w:rsid w:val="004E78FD"/>
    <w:rPr>
      <w:rFonts w:cs="Courier New"/>
    </w:rPr>
  </w:style>
  <w:style w:type="character" w:customStyle="1" w:styleId="ListLabel2">
    <w:name w:val="ListLabel 2"/>
    <w:qFormat/>
    <w:rsid w:val="004E78FD"/>
    <w:rPr>
      <w:rFonts w:cs="Courier New"/>
    </w:rPr>
  </w:style>
  <w:style w:type="character" w:customStyle="1" w:styleId="ListLabel3">
    <w:name w:val="ListLabel 3"/>
    <w:qFormat/>
    <w:rsid w:val="004E78FD"/>
    <w:rPr>
      <w:rFonts w:cs="Courier New"/>
    </w:rPr>
  </w:style>
  <w:style w:type="character" w:customStyle="1" w:styleId="ListLabel4">
    <w:name w:val="ListLabel 4"/>
    <w:qFormat/>
    <w:rsid w:val="004E78FD"/>
    <w:rPr>
      <w:rFonts w:eastAsia="Calibri" w:cs="Times New Roman"/>
    </w:rPr>
  </w:style>
  <w:style w:type="character" w:customStyle="1" w:styleId="ListLabel5">
    <w:name w:val="ListLabel 5"/>
    <w:qFormat/>
    <w:rsid w:val="004E78FD"/>
    <w:rPr>
      <w:rFonts w:cs="Courier New"/>
    </w:rPr>
  </w:style>
  <w:style w:type="character" w:customStyle="1" w:styleId="ListLabel6">
    <w:name w:val="ListLabel 6"/>
    <w:qFormat/>
    <w:rsid w:val="004E78FD"/>
    <w:rPr>
      <w:rFonts w:cs="Courier New"/>
    </w:rPr>
  </w:style>
  <w:style w:type="character" w:customStyle="1" w:styleId="ListLabel7">
    <w:name w:val="ListLabel 7"/>
    <w:qFormat/>
    <w:rsid w:val="004E78FD"/>
    <w:rPr>
      <w:rFonts w:cs="Courier New"/>
    </w:rPr>
  </w:style>
  <w:style w:type="character" w:customStyle="1" w:styleId="ListLabel8">
    <w:name w:val="ListLabel 8"/>
    <w:qFormat/>
    <w:rsid w:val="004E78FD"/>
    <w:rPr>
      <w:rFonts w:eastAsia="Calibri" w:cs="Times New Roman"/>
    </w:rPr>
  </w:style>
  <w:style w:type="character" w:customStyle="1" w:styleId="ListLabel9">
    <w:name w:val="ListLabel 9"/>
    <w:qFormat/>
    <w:rsid w:val="004E78FD"/>
    <w:rPr>
      <w:rFonts w:cs="Courier New"/>
    </w:rPr>
  </w:style>
  <w:style w:type="character" w:customStyle="1" w:styleId="ListLabel10">
    <w:name w:val="ListLabel 10"/>
    <w:qFormat/>
    <w:rsid w:val="004E78FD"/>
    <w:rPr>
      <w:rFonts w:cs="Courier New"/>
    </w:rPr>
  </w:style>
  <w:style w:type="character" w:customStyle="1" w:styleId="ListLabel11">
    <w:name w:val="ListLabel 11"/>
    <w:qFormat/>
    <w:rsid w:val="004E78FD"/>
    <w:rPr>
      <w:rFonts w:cs="Courier New"/>
    </w:rPr>
  </w:style>
  <w:style w:type="character" w:customStyle="1" w:styleId="ListLabel12">
    <w:name w:val="ListLabel 12"/>
    <w:qFormat/>
    <w:rsid w:val="004E78FD"/>
    <w:rPr>
      <w:rFonts w:eastAsia="Calibri" w:cs="Times New Roman"/>
    </w:rPr>
  </w:style>
  <w:style w:type="character" w:customStyle="1" w:styleId="ListLabel13">
    <w:name w:val="ListLabel 13"/>
    <w:qFormat/>
    <w:rsid w:val="004E78FD"/>
    <w:rPr>
      <w:rFonts w:cs="Courier New"/>
    </w:rPr>
  </w:style>
  <w:style w:type="character" w:customStyle="1" w:styleId="ListLabel14">
    <w:name w:val="ListLabel 14"/>
    <w:qFormat/>
    <w:rsid w:val="004E78FD"/>
    <w:rPr>
      <w:rFonts w:cs="Courier New"/>
    </w:rPr>
  </w:style>
  <w:style w:type="character" w:customStyle="1" w:styleId="ListLabel15">
    <w:name w:val="ListLabel 15"/>
    <w:qFormat/>
    <w:rsid w:val="004E78FD"/>
    <w:rPr>
      <w:rFonts w:cs="Courier New"/>
    </w:rPr>
  </w:style>
  <w:style w:type="character" w:customStyle="1" w:styleId="ListLabel16">
    <w:name w:val="ListLabel 16"/>
    <w:qFormat/>
    <w:rsid w:val="004E78FD"/>
    <w:rPr>
      <w:rFonts w:cs="Courier New"/>
    </w:rPr>
  </w:style>
  <w:style w:type="character" w:customStyle="1" w:styleId="ListLabel17">
    <w:name w:val="ListLabel 17"/>
    <w:qFormat/>
    <w:rsid w:val="004E78FD"/>
    <w:rPr>
      <w:rFonts w:cs="Courier New"/>
    </w:rPr>
  </w:style>
  <w:style w:type="character" w:customStyle="1" w:styleId="ListLabel18">
    <w:name w:val="ListLabel 18"/>
    <w:qFormat/>
    <w:rsid w:val="004E78FD"/>
    <w:rPr>
      <w:rFonts w:cs="Courier New"/>
    </w:rPr>
  </w:style>
  <w:style w:type="character" w:customStyle="1" w:styleId="ListLabel19">
    <w:name w:val="ListLabel 19"/>
    <w:qFormat/>
    <w:rsid w:val="004E78FD"/>
    <w:rPr>
      <w:rFonts w:cs="Courier New"/>
    </w:rPr>
  </w:style>
  <w:style w:type="character" w:customStyle="1" w:styleId="ListLabel20">
    <w:name w:val="ListLabel 20"/>
    <w:qFormat/>
    <w:rsid w:val="004E78FD"/>
    <w:rPr>
      <w:rFonts w:cs="Courier New"/>
    </w:rPr>
  </w:style>
  <w:style w:type="character" w:customStyle="1" w:styleId="ListLabel21">
    <w:name w:val="ListLabel 21"/>
    <w:qFormat/>
    <w:rsid w:val="004E78FD"/>
    <w:rPr>
      <w:rFonts w:cs="Courier New"/>
    </w:rPr>
  </w:style>
  <w:style w:type="character" w:customStyle="1" w:styleId="ListLabel22">
    <w:name w:val="ListLabel 22"/>
    <w:qFormat/>
    <w:rsid w:val="004E78FD"/>
    <w:rPr>
      <w:rFonts w:cs="Courier New"/>
    </w:rPr>
  </w:style>
  <w:style w:type="character" w:customStyle="1" w:styleId="ListLabel23">
    <w:name w:val="ListLabel 23"/>
    <w:qFormat/>
    <w:rsid w:val="004E78FD"/>
    <w:rPr>
      <w:rFonts w:cs="Courier New"/>
    </w:rPr>
  </w:style>
  <w:style w:type="character" w:customStyle="1" w:styleId="ListLabel24">
    <w:name w:val="ListLabel 24"/>
    <w:qFormat/>
    <w:rsid w:val="004E78FD"/>
    <w:rPr>
      <w:rFonts w:cs="Courier New"/>
    </w:rPr>
  </w:style>
  <w:style w:type="character" w:customStyle="1" w:styleId="ListLabel25">
    <w:name w:val="ListLabel 25"/>
    <w:qFormat/>
    <w:rsid w:val="004E78FD"/>
    <w:rPr>
      <w:rFonts w:eastAsia="Times New Roman" w:cs="Times New Roman"/>
      <w:b w:val="0"/>
    </w:rPr>
  </w:style>
  <w:style w:type="character" w:customStyle="1" w:styleId="ListLabel26">
    <w:name w:val="ListLabel 26"/>
    <w:qFormat/>
    <w:rsid w:val="004E78FD"/>
    <w:rPr>
      <w:rFonts w:cs="Courier New"/>
    </w:rPr>
  </w:style>
  <w:style w:type="character" w:customStyle="1" w:styleId="ListLabel27">
    <w:name w:val="ListLabel 27"/>
    <w:qFormat/>
    <w:rsid w:val="004E78FD"/>
    <w:rPr>
      <w:rFonts w:cs="Courier New"/>
    </w:rPr>
  </w:style>
  <w:style w:type="character" w:customStyle="1" w:styleId="ListLabel28">
    <w:name w:val="ListLabel 28"/>
    <w:qFormat/>
    <w:rsid w:val="004E78FD"/>
    <w:rPr>
      <w:rFonts w:cs="Courier New"/>
    </w:rPr>
  </w:style>
  <w:style w:type="character" w:customStyle="1" w:styleId="ListLabel29">
    <w:name w:val="ListLabel 29"/>
    <w:qFormat/>
    <w:rsid w:val="004E78FD"/>
    <w:rPr>
      <w:rFonts w:eastAsia="Times New Roman" w:cs="Times New Roman"/>
    </w:rPr>
  </w:style>
  <w:style w:type="character" w:customStyle="1" w:styleId="ListLabel30">
    <w:name w:val="ListLabel 30"/>
    <w:qFormat/>
    <w:rsid w:val="004E78FD"/>
    <w:rPr>
      <w:rFonts w:cs="Courier New"/>
    </w:rPr>
  </w:style>
  <w:style w:type="character" w:customStyle="1" w:styleId="ListLabel31">
    <w:name w:val="ListLabel 31"/>
    <w:qFormat/>
    <w:rsid w:val="004E78FD"/>
    <w:rPr>
      <w:rFonts w:cs="Courier New"/>
    </w:rPr>
  </w:style>
  <w:style w:type="character" w:customStyle="1" w:styleId="ListLabel32">
    <w:name w:val="ListLabel 32"/>
    <w:qFormat/>
    <w:rsid w:val="004E78FD"/>
    <w:rPr>
      <w:rFonts w:cs="Courier New"/>
    </w:rPr>
  </w:style>
  <w:style w:type="character" w:customStyle="1" w:styleId="ListLabel33">
    <w:name w:val="ListLabel 33"/>
    <w:qFormat/>
    <w:rsid w:val="004E78FD"/>
    <w:rPr>
      <w:rFonts w:ascii="Times New Roman" w:hAnsi="Times New Roman" w:cs="Courier New"/>
      <w:b/>
      <w:sz w:val="24"/>
    </w:rPr>
  </w:style>
  <w:style w:type="character" w:customStyle="1" w:styleId="ListLabel34">
    <w:name w:val="ListLabel 34"/>
    <w:qFormat/>
    <w:rsid w:val="004E78FD"/>
    <w:rPr>
      <w:rFonts w:cs="Courier New"/>
    </w:rPr>
  </w:style>
  <w:style w:type="character" w:customStyle="1" w:styleId="ListLabel35">
    <w:name w:val="ListLabel 35"/>
    <w:qFormat/>
    <w:rsid w:val="004E78FD"/>
    <w:rPr>
      <w:rFonts w:cs="Courier New"/>
    </w:rPr>
  </w:style>
  <w:style w:type="paragraph" w:customStyle="1" w:styleId="Heading">
    <w:name w:val="Heading"/>
    <w:basedOn w:val="Normal"/>
    <w:next w:val="BodyText"/>
    <w:qFormat/>
    <w:rsid w:val="004E78F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E78FD"/>
    <w:pPr>
      <w:spacing w:after="140"/>
    </w:pPr>
  </w:style>
  <w:style w:type="paragraph" w:styleId="List">
    <w:name w:val="List"/>
    <w:basedOn w:val="BodyText"/>
    <w:rsid w:val="004E78FD"/>
    <w:rPr>
      <w:rFonts w:cs="Arial"/>
    </w:rPr>
  </w:style>
  <w:style w:type="paragraph" w:styleId="Caption">
    <w:name w:val="caption"/>
    <w:basedOn w:val="Normal"/>
    <w:qFormat/>
    <w:rsid w:val="004E78F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4E78FD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A5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FootnoteText">
    <w:name w:val="footnote text"/>
    <w:basedOn w:val="Normal"/>
    <w:link w:val="FootnoteTextChar1"/>
    <w:rsid w:val="001D3C18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paragraph" w:customStyle="1" w:styleId="BVIfnrChar1Char">
    <w:name w:val="BVI fnr Char1 Char"/>
    <w:basedOn w:val="Normal"/>
    <w:next w:val="Normal"/>
    <w:link w:val="FootnoteCharacters"/>
    <w:qFormat/>
    <w:rsid w:val="001D3C18"/>
    <w:pPr>
      <w:spacing w:after="160" w:line="240" w:lineRule="exact"/>
    </w:pPr>
    <w:rPr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1469E-96A5-4F1E-9578-88B839DA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991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mtelbis</dc:creator>
  <dc:description/>
  <cp:lastModifiedBy>MMalac</cp:lastModifiedBy>
  <cp:revision>13</cp:revision>
  <cp:lastPrinted>2019-01-10T06:12:00Z</cp:lastPrinted>
  <dcterms:created xsi:type="dcterms:W3CDTF">2019-01-08T13:05:00Z</dcterms:created>
  <dcterms:modified xsi:type="dcterms:W3CDTF">2019-01-10T07:17:00Z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