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SERVICIUL STRATEGII ȘI PROGRAME EDUCAȚIONALE</w:t>
      </w:r>
    </w:p>
    <w:p w:rsidR="00000000" w:rsidDel="00000000" w:rsidP="00000000" w:rsidRDefault="00000000" w:rsidRPr="00000000" w14:paraId="00000002">
      <w:pPr>
        <w:tabs>
          <w:tab w:val="left" w:leader="none" w:pos="567"/>
        </w:tabs>
        <w:rPr>
          <w:b w:val="1"/>
          <w:sz w:val="22"/>
          <w:szCs w:val="22"/>
        </w:rPr>
      </w:pPr>
      <w:r w:rsidDel="00000000" w:rsidR="00000000" w:rsidRPr="00000000">
        <w:rPr>
          <w:b w:val="1"/>
          <w:sz w:val="22"/>
          <w:szCs w:val="22"/>
          <w:rtl w:val="0"/>
        </w:rPr>
        <w:t xml:space="preserve">NR. </w:t>
      </w:r>
      <w:r w:rsidDel="00000000" w:rsidR="00000000" w:rsidRPr="00000000">
        <w:rPr>
          <w:b w:val="1"/>
          <w:sz w:val="24"/>
          <w:szCs w:val="24"/>
          <w:rtl w:val="0"/>
        </w:rPr>
        <w:t xml:space="preserve">ASEMT2023-2436/11.09.2023</w:t>
      </w:r>
      <w:r w:rsidDel="00000000" w:rsidR="00000000" w:rsidRPr="00000000">
        <w:rPr>
          <w:rtl w:val="0"/>
        </w:rPr>
      </w:r>
    </w:p>
    <w:p w:rsidR="00000000" w:rsidDel="00000000" w:rsidP="00000000" w:rsidRDefault="00000000" w:rsidRPr="00000000" w14:paraId="00000003">
      <w:pPr>
        <w:tabs>
          <w:tab w:val="left" w:leader="none" w:pos="567"/>
        </w:tabs>
        <w:rPr>
          <w:b w:val="1"/>
        </w:rPr>
      </w:pPr>
      <w:r w:rsidDel="00000000" w:rsidR="00000000" w:rsidRPr="00000000">
        <w:rPr>
          <w:rtl w:val="0"/>
        </w:rPr>
      </w:r>
    </w:p>
    <w:p w:rsidR="00000000" w:rsidDel="00000000" w:rsidP="00000000" w:rsidRDefault="00000000" w:rsidRPr="00000000" w14:paraId="00000004">
      <w:pPr>
        <w:tabs>
          <w:tab w:val="left" w:leader="none" w:pos="567"/>
        </w:tabs>
        <w:rPr>
          <w:b w:val="1"/>
          <w:sz w:val="24"/>
          <w:szCs w:val="24"/>
        </w:rPr>
      </w:pPr>
      <w:r w:rsidDel="00000000" w:rsidR="00000000" w:rsidRPr="00000000">
        <w:rPr>
          <w:rtl w:val="0"/>
        </w:rPr>
      </w:r>
    </w:p>
    <w:p w:rsidR="00000000" w:rsidDel="00000000" w:rsidP="00000000" w:rsidRDefault="00000000" w:rsidRPr="00000000" w14:paraId="00000005">
      <w:pPr>
        <w:tabs>
          <w:tab w:val="left" w:leader="none" w:pos="567"/>
        </w:tabs>
        <w:jc w:val="center"/>
        <w:rPr>
          <w:b w:val="1"/>
          <w:sz w:val="24"/>
          <w:szCs w:val="24"/>
        </w:rPr>
      </w:pPr>
      <w:r w:rsidDel="00000000" w:rsidR="00000000" w:rsidRPr="00000000">
        <w:rPr>
          <w:rtl w:val="0"/>
        </w:rPr>
      </w:r>
    </w:p>
    <w:p w:rsidR="00000000" w:rsidDel="00000000" w:rsidP="00000000" w:rsidRDefault="00000000" w:rsidRPr="00000000" w14:paraId="00000006">
      <w:pPr>
        <w:tabs>
          <w:tab w:val="left" w:leader="none" w:pos="567"/>
        </w:tabs>
        <w:jc w:val="center"/>
        <w:rPr>
          <w:b w:val="1"/>
          <w:sz w:val="24"/>
          <w:szCs w:val="24"/>
        </w:rPr>
      </w:pPr>
      <w:r w:rsidDel="00000000" w:rsidR="00000000" w:rsidRPr="00000000">
        <w:rPr>
          <w:b w:val="1"/>
          <w:sz w:val="24"/>
          <w:szCs w:val="24"/>
          <w:rtl w:val="0"/>
        </w:rPr>
        <w:t xml:space="preserve">RAPORT DE SPECIALITATE</w:t>
      </w:r>
    </w:p>
    <w:p w:rsidR="00000000" w:rsidDel="00000000" w:rsidP="00000000" w:rsidRDefault="00000000" w:rsidRPr="00000000" w14:paraId="00000007">
      <w:pPr>
        <w:tabs>
          <w:tab w:val="left" w:leader="none" w:pos="567"/>
        </w:tabs>
        <w:jc w:val="center"/>
        <w:rPr>
          <w:b w:val="1"/>
          <w:sz w:val="24"/>
          <w:szCs w:val="24"/>
        </w:rPr>
      </w:pPr>
      <w:r w:rsidDel="00000000" w:rsidR="00000000" w:rsidRPr="00000000">
        <w:rPr>
          <w:rtl w:val="0"/>
        </w:rPr>
      </w:r>
    </w:p>
    <w:p w:rsidR="00000000" w:rsidDel="00000000" w:rsidP="00000000" w:rsidRDefault="00000000" w:rsidRPr="00000000" w14:paraId="00000008">
      <w:pPr>
        <w:tabs>
          <w:tab w:val="left" w:leader="none" w:pos="567"/>
        </w:tabs>
        <w:jc w:val="center"/>
        <w:rPr>
          <w:b w:val="1"/>
          <w:sz w:val="24"/>
          <w:szCs w:val="24"/>
        </w:rPr>
      </w:pPr>
      <w:bookmarkStart w:colFirst="0" w:colLast="0" w:name="_heading=h.gjdgxs" w:id="0"/>
      <w:bookmarkEnd w:id="0"/>
      <w:r w:rsidDel="00000000" w:rsidR="00000000" w:rsidRPr="00000000">
        <w:rPr>
          <w:b w:val="1"/>
          <w:sz w:val="24"/>
          <w:szCs w:val="24"/>
          <w:rtl w:val="0"/>
        </w:rPr>
        <w:t xml:space="preserve">privind desemnarea reprezentanților din partea Consiliului Local al Municipiului Timişoara în Comisia pentru evaluarea şi asigurarea calităţii educaţiei în unităţile de învățământ preuniversitar de pe raza Municipiului Timişoara, pentru anul şcolar 2023 -2024</w:t>
      </w:r>
    </w:p>
    <w:p w:rsidR="00000000" w:rsidDel="00000000" w:rsidP="00000000" w:rsidRDefault="00000000" w:rsidRPr="00000000" w14:paraId="00000009">
      <w:pPr>
        <w:tabs>
          <w:tab w:val="left" w:leader="none" w:pos="567"/>
        </w:tabs>
        <w:jc w:val="center"/>
        <w:rPr>
          <w:b w:val="1"/>
          <w:sz w:val="24"/>
          <w:szCs w:val="24"/>
        </w:rPr>
      </w:pPr>
      <w:r w:rsidDel="00000000" w:rsidR="00000000" w:rsidRPr="00000000">
        <w:rPr>
          <w:rtl w:val="0"/>
        </w:rPr>
      </w:r>
    </w:p>
    <w:p w:rsidR="00000000" w:rsidDel="00000000" w:rsidP="00000000" w:rsidRDefault="00000000" w:rsidRPr="00000000" w14:paraId="0000000A">
      <w:pPr>
        <w:tabs>
          <w:tab w:val="left" w:leader="none" w:pos="567"/>
        </w:tabs>
        <w:jc w:val="both"/>
        <w:rPr>
          <w:sz w:val="24"/>
          <w:szCs w:val="24"/>
        </w:rPr>
      </w:pPr>
      <w:r w:rsidDel="00000000" w:rsidR="00000000" w:rsidRPr="00000000">
        <w:rPr>
          <w:sz w:val="24"/>
          <w:szCs w:val="24"/>
          <w:rtl w:val="0"/>
        </w:rPr>
        <w:tab/>
        <w:t xml:space="preserve">Având în vedere Referatul de aprobare nr. ASEMT2023-2435/11.09.2023 al Primarului Municipiului Timişoara şi Proiectul de hotărâre privind desemnarea reprezentanților din partea Consiliului Local al Municipiului Timişoara în Comisia pentru evaluarea şi asigurarea calităţii educaţiei în unităţile de învăţământ preuniversitar de stat de pe raza Municipiului Timişoara, pentru anul şcolar 2023 -2024,</w:t>
      </w:r>
    </w:p>
    <w:p w:rsidR="00000000" w:rsidDel="00000000" w:rsidP="00000000" w:rsidRDefault="00000000" w:rsidRPr="00000000" w14:paraId="0000000B">
      <w:pPr>
        <w:tabs>
          <w:tab w:val="left" w:leader="none" w:pos="567"/>
        </w:tabs>
        <w:jc w:val="both"/>
        <w:rPr>
          <w:sz w:val="24"/>
          <w:szCs w:val="24"/>
        </w:rPr>
      </w:pPr>
      <w:r w:rsidDel="00000000" w:rsidR="00000000" w:rsidRPr="00000000">
        <w:rPr>
          <w:sz w:val="24"/>
          <w:szCs w:val="24"/>
          <w:rtl w:val="0"/>
        </w:rPr>
        <w:tab/>
        <w:t xml:space="preserve">Facem următoarele precizări:</w:t>
      </w:r>
    </w:p>
    <w:p w:rsidR="00000000" w:rsidDel="00000000" w:rsidP="00000000" w:rsidRDefault="00000000" w:rsidRPr="00000000" w14:paraId="0000000C">
      <w:pPr>
        <w:tabs>
          <w:tab w:val="left" w:leader="none" w:pos="567"/>
        </w:tabs>
        <w:ind w:left="2" w:firstLine="2"/>
        <w:jc w:val="both"/>
        <w:rPr>
          <w:sz w:val="24"/>
          <w:szCs w:val="24"/>
        </w:rPr>
      </w:pPr>
      <w:r w:rsidDel="00000000" w:rsidR="00000000" w:rsidRPr="00000000">
        <w:rPr>
          <w:sz w:val="24"/>
          <w:szCs w:val="24"/>
          <w:rtl w:val="0"/>
        </w:rPr>
        <w:tab/>
        <w:t xml:space="preserve">Conform prevederilor art. 234 din </w:t>
      </w:r>
      <w:r w:rsidDel="00000000" w:rsidR="00000000" w:rsidRPr="00000000">
        <w:rPr>
          <w:b w:val="1"/>
          <w:sz w:val="24"/>
          <w:szCs w:val="24"/>
          <w:rtl w:val="0"/>
        </w:rPr>
        <w:t xml:space="preserve">Legea învățământului preuniversitar nr. 198/04.07.2023</w:t>
      </w:r>
      <w:r w:rsidDel="00000000" w:rsidR="00000000" w:rsidRPr="00000000">
        <w:rPr>
          <w:sz w:val="24"/>
          <w:szCs w:val="24"/>
          <w:rtl w:val="0"/>
        </w:rPr>
        <w:t xml:space="preserve">, capitolul III – Asigurarea internă a calității,</w:t>
      </w:r>
    </w:p>
    <w:p w:rsidR="00000000" w:rsidDel="00000000" w:rsidP="00000000" w:rsidRDefault="00000000" w:rsidRPr="00000000" w14:paraId="0000000D">
      <w:pPr>
        <w:tabs>
          <w:tab w:val="left" w:leader="none" w:pos="567"/>
        </w:tabs>
        <w:jc w:val="both"/>
        <w:rPr>
          <w:i w:val="1"/>
          <w:sz w:val="24"/>
          <w:szCs w:val="24"/>
        </w:rPr>
      </w:pPr>
      <w:r w:rsidDel="00000000" w:rsidR="00000000" w:rsidRPr="00000000">
        <w:rPr>
          <w:i w:val="1"/>
          <w:sz w:val="24"/>
          <w:szCs w:val="24"/>
          <w:rtl w:val="0"/>
        </w:rPr>
        <w:t xml:space="preserve">”(1) Directorul şi consiliul de administraţie ai unităţii de învăţământ sau, după caz, ai unităţii de educaţie extraşcolară sunt direct responsabili de calitatea educaţiei furnizate.</w:t>
      </w:r>
    </w:p>
    <w:p w:rsidR="00000000" w:rsidDel="00000000" w:rsidP="00000000" w:rsidRDefault="00000000" w:rsidRPr="00000000" w14:paraId="0000000E">
      <w:pPr>
        <w:tabs>
          <w:tab w:val="left" w:leader="none" w:pos="567"/>
        </w:tabs>
        <w:jc w:val="both"/>
        <w:rPr>
          <w:i w:val="1"/>
          <w:sz w:val="24"/>
          <w:szCs w:val="24"/>
        </w:rPr>
      </w:pPr>
      <w:r w:rsidDel="00000000" w:rsidR="00000000" w:rsidRPr="00000000">
        <w:rPr>
          <w:i w:val="1"/>
          <w:sz w:val="24"/>
          <w:szCs w:val="24"/>
          <w:rtl w:val="0"/>
        </w:rPr>
        <w:t xml:space="preserve">(2) La nivelul fiecărei unităţi de învăţământ preuniversitar din România funcţionează Comisia pentru evaluarea şi asigurarea calităţii educaţiei, în conformitate cu prevederile unei proceduri aprobate prin ordin al ministrului educaţiei.</w:t>
      </w:r>
    </w:p>
    <w:p w:rsidR="00000000" w:rsidDel="00000000" w:rsidP="00000000" w:rsidRDefault="00000000" w:rsidRPr="00000000" w14:paraId="0000000F">
      <w:pPr>
        <w:tabs>
          <w:tab w:val="left" w:leader="none" w:pos="567"/>
        </w:tabs>
        <w:jc w:val="both"/>
        <w:rPr>
          <w:i w:val="1"/>
          <w:sz w:val="24"/>
          <w:szCs w:val="24"/>
        </w:rPr>
      </w:pPr>
      <w:r w:rsidDel="00000000" w:rsidR="00000000" w:rsidRPr="00000000">
        <w:rPr>
          <w:i w:val="1"/>
          <w:sz w:val="24"/>
          <w:szCs w:val="24"/>
          <w:rtl w:val="0"/>
        </w:rPr>
        <w:t xml:space="preserve">(3) Regulamentul de organizare şi funcţionare a comisiei, precum şi strategia acesteia se elaborează şi se aprobă de consiliul de administraţie al unităţii de învăţământ, după consultarea consiliului profesoral, a consiliului şcolar al elevilor şi a structurilor asociative ale părinţilor.</w:t>
      </w:r>
    </w:p>
    <w:p w:rsidR="00000000" w:rsidDel="00000000" w:rsidP="00000000" w:rsidRDefault="00000000" w:rsidRPr="00000000" w14:paraId="00000010">
      <w:pPr>
        <w:tabs>
          <w:tab w:val="left" w:leader="none" w:pos="567"/>
        </w:tabs>
        <w:jc w:val="both"/>
        <w:rPr>
          <w:i w:val="1"/>
          <w:sz w:val="24"/>
          <w:szCs w:val="24"/>
        </w:rPr>
      </w:pPr>
      <w:r w:rsidDel="00000000" w:rsidR="00000000" w:rsidRPr="00000000">
        <w:rPr>
          <w:i w:val="1"/>
          <w:sz w:val="24"/>
          <w:szCs w:val="24"/>
          <w:rtl w:val="0"/>
        </w:rPr>
        <w:t xml:space="preserve">(4) Conducerea operativă a comisiei este asigurată de conducătorul organizaţiei sau de un coordonator desemnat de acesta.</w:t>
      </w:r>
    </w:p>
    <w:p w:rsidR="00000000" w:rsidDel="00000000" w:rsidP="00000000" w:rsidRDefault="00000000" w:rsidRPr="00000000" w14:paraId="00000011">
      <w:pPr>
        <w:tabs>
          <w:tab w:val="left" w:leader="none" w:pos="567"/>
        </w:tabs>
        <w:jc w:val="both"/>
        <w:rPr>
          <w:i w:val="1"/>
          <w:sz w:val="24"/>
          <w:szCs w:val="24"/>
        </w:rPr>
      </w:pPr>
      <w:r w:rsidDel="00000000" w:rsidR="00000000" w:rsidRPr="00000000">
        <w:rPr>
          <w:i w:val="1"/>
          <w:sz w:val="24"/>
          <w:szCs w:val="24"/>
          <w:rtl w:val="0"/>
        </w:rPr>
        <w:t xml:space="preserve">5) Componenţa Comisiei pentru evaluarea şi asigurarea calităţii educaţiei în unităţile din învăţământul preuniversitar cuprinde:</w:t>
      </w:r>
    </w:p>
    <w:p w:rsidR="00000000" w:rsidDel="00000000" w:rsidP="00000000" w:rsidRDefault="00000000" w:rsidRPr="00000000" w14:paraId="00000012">
      <w:pPr>
        <w:tabs>
          <w:tab w:val="left" w:leader="none" w:pos="567"/>
        </w:tabs>
        <w:jc w:val="both"/>
        <w:rPr>
          <w:i w:val="1"/>
          <w:sz w:val="24"/>
          <w:szCs w:val="24"/>
        </w:rPr>
      </w:pPr>
      <w:r w:rsidDel="00000000" w:rsidR="00000000" w:rsidRPr="00000000">
        <w:rPr>
          <w:i w:val="1"/>
          <w:sz w:val="24"/>
          <w:szCs w:val="24"/>
          <w:rtl w:val="0"/>
        </w:rPr>
        <w:t xml:space="preserve">a) 1-3 reprezentanţi ai corpului profesoral, aleşi prin vot secret de consiliul profesoral;</w:t>
      </w:r>
    </w:p>
    <w:p w:rsidR="00000000" w:rsidDel="00000000" w:rsidP="00000000" w:rsidRDefault="00000000" w:rsidRPr="00000000" w14:paraId="00000013">
      <w:pPr>
        <w:tabs>
          <w:tab w:val="left" w:leader="none" w:pos="567"/>
        </w:tabs>
        <w:jc w:val="both"/>
        <w:rPr>
          <w:i w:val="1"/>
          <w:sz w:val="24"/>
          <w:szCs w:val="24"/>
        </w:rPr>
      </w:pPr>
      <w:r w:rsidDel="00000000" w:rsidR="00000000" w:rsidRPr="00000000">
        <w:rPr>
          <w:i w:val="1"/>
          <w:sz w:val="24"/>
          <w:szCs w:val="24"/>
          <w:rtl w:val="0"/>
        </w:rPr>
        <w:t xml:space="preserve">b) un reprezentant al sindicatului reprezentativ, desemnat de acesta;</w:t>
      </w:r>
    </w:p>
    <w:p w:rsidR="00000000" w:rsidDel="00000000" w:rsidP="00000000" w:rsidRDefault="00000000" w:rsidRPr="00000000" w14:paraId="00000014">
      <w:pPr>
        <w:tabs>
          <w:tab w:val="left" w:leader="none" w:pos="567"/>
        </w:tabs>
        <w:jc w:val="both"/>
        <w:rPr>
          <w:i w:val="1"/>
          <w:sz w:val="24"/>
          <w:szCs w:val="24"/>
        </w:rPr>
      </w:pPr>
      <w:r w:rsidDel="00000000" w:rsidR="00000000" w:rsidRPr="00000000">
        <w:rPr>
          <w:i w:val="1"/>
          <w:sz w:val="24"/>
          <w:szCs w:val="24"/>
          <w:rtl w:val="0"/>
        </w:rPr>
        <w:t xml:space="preserve">c) un reprezentant al părinţilor, în cazul învăţământului preşcolar, primar, gimnazial sau liceal;</w:t>
      </w:r>
    </w:p>
    <w:p w:rsidR="00000000" w:rsidDel="00000000" w:rsidP="00000000" w:rsidRDefault="00000000" w:rsidRPr="00000000" w14:paraId="00000015">
      <w:pPr>
        <w:tabs>
          <w:tab w:val="left" w:leader="none" w:pos="567"/>
        </w:tabs>
        <w:jc w:val="both"/>
        <w:rPr>
          <w:i w:val="1"/>
          <w:sz w:val="24"/>
          <w:szCs w:val="24"/>
        </w:rPr>
      </w:pPr>
      <w:r w:rsidDel="00000000" w:rsidR="00000000" w:rsidRPr="00000000">
        <w:rPr>
          <w:i w:val="1"/>
          <w:sz w:val="24"/>
          <w:szCs w:val="24"/>
          <w:rtl w:val="0"/>
        </w:rPr>
        <w:t xml:space="preserve">d) un reprezentant al elevilor, în cazul învăţământului liceal şi postliceal;</w:t>
      </w:r>
    </w:p>
    <w:p w:rsidR="00000000" w:rsidDel="00000000" w:rsidP="00000000" w:rsidRDefault="00000000" w:rsidRPr="00000000" w14:paraId="00000016">
      <w:pPr>
        <w:tabs>
          <w:tab w:val="left" w:leader="none" w:pos="567"/>
        </w:tabs>
        <w:jc w:val="both"/>
        <w:rPr>
          <w:b w:val="1"/>
          <w:i w:val="1"/>
          <w:sz w:val="24"/>
          <w:szCs w:val="24"/>
        </w:rPr>
      </w:pPr>
      <w:r w:rsidDel="00000000" w:rsidR="00000000" w:rsidRPr="00000000">
        <w:rPr>
          <w:b w:val="1"/>
          <w:i w:val="1"/>
          <w:sz w:val="24"/>
          <w:szCs w:val="24"/>
          <w:rtl w:val="0"/>
        </w:rPr>
        <w:t xml:space="preserve">e) un reprezentant al consiliului local;</w:t>
      </w:r>
    </w:p>
    <w:p w:rsidR="00000000" w:rsidDel="00000000" w:rsidP="00000000" w:rsidRDefault="00000000" w:rsidRPr="00000000" w14:paraId="00000017">
      <w:pPr>
        <w:tabs>
          <w:tab w:val="left" w:leader="none" w:pos="567"/>
        </w:tabs>
        <w:jc w:val="both"/>
        <w:rPr>
          <w:i w:val="1"/>
          <w:sz w:val="24"/>
          <w:szCs w:val="24"/>
        </w:rPr>
      </w:pPr>
      <w:r w:rsidDel="00000000" w:rsidR="00000000" w:rsidRPr="00000000">
        <w:rPr>
          <w:i w:val="1"/>
          <w:sz w:val="24"/>
          <w:szCs w:val="24"/>
          <w:rtl w:val="0"/>
        </w:rPr>
        <w:t xml:space="preserve">f) un reprezentant al minorităţilor naţionale, după caz, provenind din corpul profesoral, reprezentanţii părinţilor sau ai elevilor.</w:t>
      </w:r>
    </w:p>
    <w:p w:rsidR="00000000" w:rsidDel="00000000" w:rsidP="00000000" w:rsidRDefault="00000000" w:rsidRPr="00000000" w14:paraId="00000018">
      <w:pPr>
        <w:tabs>
          <w:tab w:val="left" w:leader="none" w:pos="567"/>
        </w:tabs>
        <w:jc w:val="both"/>
        <w:rPr>
          <w:i w:val="1"/>
          <w:sz w:val="24"/>
          <w:szCs w:val="24"/>
        </w:rPr>
      </w:pPr>
      <w:r w:rsidDel="00000000" w:rsidR="00000000" w:rsidRPr="00000000">
        <w:rPr>
          <w:i w:val="1"/>
          <w:sz w:val="24"/>
          <w:szCs w:val="24"/>
          <w:rtl w:val="0"/>
        </w:rPr>
        <w:t xml:space="preserve">(6) Pentru orice organizaţie furnizoare de educaţie, alta decât o unitate de învăţământ, Comisia pentru evaluarea şi asigurarea calităţii educaţiei cuprinde următoarele categorii:</w:t>
      </w:r>
    </w:p>
    <w:p w:rsidR="00000000" w:rsidDel="00000000" w:rsidP="00000000" w:rsidRDefault="00000000" w:rsidRPr="00000000" w14:paraId="00000019">
      <w:pPr>
        <w:tabs>
          <w:tab w:val="left" w:leader="none" w:pos="567"/>
        </w:tabs>
        <w:jc w:val="both"/>
        <w:rPr>
          <w:i w:val="1"/>
          <w:sz w:val="24"/>
          <w:szCs w:val="24"/>
        </w:rPr>
      </w:pPr>
      <w:r w:rsidDel="00000000" w:rsidR="00000000" w:rsidRPr="00000000">
        <w:rPr>
          <w:i w:val="1"/>
          <w:sz w:val="24"/>
          <w:szCs w:val="24"/>
          <w:rtl w:val="0"/>
        </w:rPr>
        <w:t xml:space="preserve">a) 1-3 reprezentanţi ai furnizorului;</w:t>
      </w:r>
    </w:p>
    <w:p w:rsidR="00000000" w:rsidDel="00000000" w:rsidP="00000000" w:rsidRDefault="00000000" w:rsidRPr="00000000" w14:paraId="0000001A">
      <w:pPr>
        <w:tabs>
          <w:tab w:val="left" w:leader="none" w:pos="567"/>
        </w:tabs>
        <w:jc w:val="both"/>
        <w:rPr>
          <w:i w:val="1"/>
          <w:sz w:val="24"/>
          <w:szCs w:val="24"/>
        </w:rPr>
      </w:pPr>
      <w:r w:rsidDel="00000000" w:rsidR="00000000" w:rsidRPr="00000000">
        <w:rPr>
          <w:i w:val="1"/>
          <w:sz w:val="24"/>
          <w:szCs w:val="24"/>
          <w:rtl w:val="0"/>
        </w:rPr>
        <w:t xml:space="preserve">b) 1-3 reprezentanţi ai beneficiarilor direcţi;</w:t>
      </w:r>
    </w:p>
    <w:p w:rsidR="00000000" w:rsidDel="00000000" w:rsidP="00000000" w:rsidRDefault="00000000" w:rsidRPr="00000000" w14:paraId="0000001B">
      <w:pPr>
        <w:tabs>
          <w:tab w:val="left" w:leader="none" w:pos="567"/>
        </w:tabs>
        <w:jc w:val="both"/>
        <w:rPr>
          <w:sz w:val="24"/>
          <w:szCs w:val="24"/>
        </w:rPr>
      </w:pPr>
      <w:r w:rsidDel="00000000" w:rsidR="00000000" w:rsidRPr="00000000">
        <w:rPr>
          <w:i w:val="1"/>
          <w:sz w:val="24"/>
          <w:szCs w:val="24"/>
          <w:rtl w:val="0"/>
        </w:rPr>
        <w:t xml:space="preserve">c) 1-3 reprezentanţi ai angajatorilor.</w:t>
      </w:r>
      <w:r w:rsidDel="00000000" w:rsidR="00000000" w:rsidRPr="00000000">
        <w:rPr>
          <w:rtl w:val="0"/>
        </w:rPr>
      </w:r>
    </w:p>
    <w:p w:rsidR="00000000" w:rsidDel="00000000" w:rsidP="00000000" w:rsidRDefault="00000000" w:rsidRPr="00000000" w14:paraId="0000001C">
      <w:pPr>
        <w:tabs>
          <w:tab w:val="left" w:leader="none" w:pos="567"/>
        </w:tabs>
        <w:spacing w:line="276" w:lineRule="auto"/>
        <w:jc w:val="both"/>
        <w:rPr>
          <w:sz w:val="24"/>
          <w:szCs w:val="24"/>
        </w:rPr>
      </w:pPr>
      <w:r w:rsidDel="00000000" w:rsidR="00000000" w:rsidRPr="00000000">
        <w:rPr>
          <w:sz w:val="24"/>
          <w:szCs w:val="24"/>
          <w:rtl w:val="0"/>
        </w:rPr>
        <w:tab/>
        <w:t xml:space="preserve">Potrivit art.234 (7) ale aceluiaşi act normativ, atribuţiile comisiei pentru evaluarea şi asigurarea calităţii educaţiei sunt:</w:t>
      </w:r>
    </w:p>
    <w:p w:rsidR="00000000" w:rsidDel="00000000" w:rsidP="00000000" w:rsidRDefault="00000000" w:rsidRPr="00000000" w14:paraId="0000001D">
      <w:pPr>
        <w:tabs>
          <w:tab w:val="left" w:leader="none" w:pos="567"/>
        </w:tabs>
        <w:spacing w:line="276" w:lineRule="auto"/>
        <w:jc w:val="both"/>
        <w:rPr>
          <w:sz w:val="24"/>
          <w:szCs w:val="24"/>
        </w:rPr>
      </w:pPr>
      <w:r w:rsidDel="00000000" w:rsidR="00000000" w:rsidRPr="00000000">
        <w:rPr>
          <w:sz w:val="24"/>
          <w:szCs w:val="24"/>
          <w:rtl w:val="0"/>
        </w:rPr>
        <w:t xml:space="preserve">”a) coordonează aplicarea procedurilor şi activităţilor de evaluare şi asigurare a calităţii, aprobate de conducerea organizaţiei furnizoare de educaţie, conform domeniilor prevăzute la art. 233 alin. (7);</w:t>
      </w:r>
    </w:p>
    <w:p w:rsidR="00000000" w:rsidDel="00000000" w:rsidP="00000000" w:rsidRDefault="00000000" w:rsidRPr="00000000" w14:paraId="0000001E">
      <w:pPr>
        <w:tabs>
          <w:tab w:val="left" w:leader="none" w:pos="567"/>
        </w:tabs>
        <w:spacing w:line="276" w:lineRule="auto"/>
        <w:jc w:val="both"/>
        <w:rPr>
          <w:sz w:val="24"/>
          <w:szCs w:val="24"/>
        </w:rPr>
      </w:pPr>
      <w:r w:rsidDel="00000000" w:rsidR="00000000" w:rsidRPr="00000000">
        <w:rPr>
          <w:sz w:val="24"/>
          <w:szCs w:val="24"/>
          <w:rtl w:val="0"/>
        </w:rPr>
        <w:t xml:space="preserve">b) elaborează anual un raport de evaluare internă privind calitatea educaţiei în organizaţia respectivă. Raportul este adus la cunoştinţă tuturor beneficiarilor prin afişare sau publicare;</w:t>
      </w:r>
    </w:p>
    <w:p w:rsidR="00000000" w:rsidDel="00000000" w:rsidP="00000000" w:rsidRDefault="00000000" w:rsidRPr="00000000" w14:paraId="0000001F">
      <w:pPr>
        <w:tabs>
          <w:tab w:val="left" w:leader="none" w:pos="567"/>
        </w:tabs>
        <w:spacing w:line="276" w:lineRule="auto"/>
        <w:jc w:val="both"/>
        <w:rPr>
          <w:sz w:val="24"/>
          <w:szCs w:val="24"/>
        </w:rPr>
      </w:pPr>
      <w:r w:rsidDel="00000000" w:rsidR="00000000" w:rsidRPr="00000000">
        <w:rPr>
          <w:sz w:val="24"/>
          <w:szCs w:val="24"/>
          <w:rtl w:val="0"/>
        </w:rPr>
        <w:t xml:space="preserve">c) elaborează o strategie care cuprinde cel puţin următoarele direcţii: rezultatele învăţării, reducerea analfabetismului funcţional, reducerea absenteismului, abandonului şcolar şi părăsirii timpurii a şcolii, precum şi promovarea excelenţei;</w:t>
      </w:r>
    </w:p>
    <w:p w:rsidR="00000000" w:rsidDel="00000000" w:rsidP="00000000" w:rsidRDefault="00000000" w:rsidRPr="00000000" w14:paraId="00000020">
      <w:pPr>
        <w:tabs>
          <w:tab w:val="left" w:leader="none" w:pos="567"/>
        </w:tabs>
        <w:spacing w:line="276" w:lineRule="auto"/>
        <w:jc w:val="both"/>
        <w:rPr>
          <w:sz w:val="24"/>
          <w:szCs w:val="24"/>
        </w:rPr>
      </w:pPr>
      <w:r w:rsidDel="00000000" w:rsidR="00000000" w:rsidRPr="00000000">
        <w:rPr>
          <w:sz w:val="24"/>
          <w:szCs w:val="24"/>
          <w:rtl w:val="0"/>
        </w:rPr>
        <w:t xml:space="preserve">d) formulează propuneri de îmbunătăţire a calităţii educaţiei.”</w:t>
      </w:r>
    </w:p>
    <w:p w:rsidR="00000000" w:rsidDel="00000000" w:rsidP="00000000" w:rsidRDefault="00000000" w:rsidRPr="00000000" w14:paraId="00000021">
      <w:pPr>
        <w:tabs>
          <w:tab w:val="left" w:leader="none" w:pos="567"/>
        </w:tabs>
        <w:spacing w:line="276" w:lineRule="auto"/>
        <w:jc w:val="both"/>
        <w:rPr>
          <w:sz w:val="24"/>
          <w:szCs w:val="24"/>
        </w:rPr>
      </w:pPr>
      <w:r w:rsidDel="00000000" w:rsidR="00000000" w:rsidRPr="00000000">
        <w:rPr>
          <w:color w:val="e36c09"/>
          <w:sz w:val="24"/>
          <w:szCs w:val="24"/>
          <w:rtl w:val="0"/>
        </w:rPr>
        <w:tab/>
      </w:r>
      <w:r w:rsidDel="00000000" w:rsidR="00000000" w:rsidRPr="00000000">
        <w:rPr>
          <w:sz w:val="24"/>
          <w:szCs w:val="24"/>
          <w:rtl w:val="0"/>
        </w:rPr>
        <w:t xml:space="preserve">Prin Hotărârea Consiliului Local al Municipiului Timişoara nr. 106/21.03.2023 a fost aprobată organizarea şi funcţionarea reţelei şcolare a unităţilor de învăţământ preuniversitar de pe raza  Municipiului Timişoara pentru anul şcolar 2023 -2024</w:t>
      </w:r>
      <w:r w:rsidDel="00000000" w:rsidR="00000000" w:rsidRPr="00000000">
        <w:rPr>
          <w:color w:val="e36c09"/>
          <w:sz w:val="24"/>
          <w:szCs w:val="24"/>
          <w:rtl w:val="0"/>
        </w:rPr>
        <w:t xml:space="preserve">.</w:t>
      </w:r>
      <w:r w:rsidDel="00000000" w:rsidR="00000000" w:rsidRPr="00000000">
        <w:rPr>
          <w:rtl w:val="0"/>
        </w:rPr>
      </w:r>
    </w:p>
    <w:p w:rsidR="00000000" w:rsidDel="00000000" w:rsidP="00000000" w:rsidRDefault="00000000" w:rsidRPr="00000000" w14:paraId="00000022">
      <w:pPr>
        <w:tabs>
          <w:tab w:val="left" w:leader="none" w:pos="567"/>
        </w:tabs>
        <w:spacing w:line="276" w:lineRule="auto"/>
        <w:jc w:val="both"/>
        <w:rPr>
          <w:sz w:val="24"/>
          <w:szCs w:val="24"/>
        </w:rPr>
      </w:pPr>
      <w:r w:rsidDel="00000000" w:rsidR="00000000" w:rsidRPr="00000000">
        <w:rPr>
          <w:sz w:val="24"/>
          <w:szCs w:val="24"/>
          <w:rtl w:val="0"/>
        </w:rPr>
        <w:tab/>
        <w:t xml:space="preserve">În aceste condiții se impune desemnarea reprezentanților Consiliului Local al Municipiului Timişoara în Comisia pentru evaluarea şi asigurarea calităţii educaţiei, în următoarele unități de învățământ de pe raza Municipiului Timişoara, cuprinse în rețeaua şcolară pentru anul școlar 2023-2024:</w:t>
      </w:r>
    </w:p>
    <w:p w:rsidR="00000000" w:rsidDel="00000000" w:rsidP="00000000" w:rsidRDefault="00000000" w:rsidRPr="00000000" w14:paraId="00000023">
      <w:pPr>
        <w:tabs>
          <w:tab w:val="left" w:leader="none" w:pos="567"/>
        </w:tabs>
        <w:spacing w:line="276" w:lineRule="auto"/>
        <w:jc w:val="both"/>
        <w:rPr>
          <w:sz w:val="24"/>
          <w:szCs w:val="24"/>
        </w:rPr>
      </w:pPr>
      <w:r w:rsidDel="00000000" w:rsidR="00000000" w:rsidRPr="00000000">
        <w:rPr>
          <w:sz w:val="24"/>
          <w:szCs w:val="24"/>
          <w:rtl w:val="0"/>
        </w:rPr>
        <w:tab/>
        <w:t xml:space="preserve">- </w:t>
      </w:r>
      <w:r w:rsidDel="00000000" w:rsidR="00000000" w:rsidRPr="00000000">
        <w:rPr>
          <w:b w:val="1"/>
          <w:sz w:val="24"/>
          <w:szCs w:val="24"/>
          <w:rtl w:val="0"/>
        </w:rPr>
        <w:t xml:space="preserve">Anexa nr.1 </w:t>
      </w:r>
      <w:r w:rsidDel="00000000" w:rsidR="00000000" w:rsidRPr="00000000">
        <w:rPr>
          <w:sz w:val="24"/>
          <w:szCs w:val="24"/>
          <w:rtl w:val="0"/>
        </w:rPr>
        <w:t xml:space="preserve">- Unități de învăţământ de stat acreditate și autorizate de pe raza Municipiului Timişoara;</w:t>
      </w:r>
    </w:p>
    <w:p w:rsidR="00000000" w:rsidDel="00000000" w:rsidP="00000000" w:rsidRDefault="00000000" w:rsidRPr="00000000" w14:paraId="00000024">
      <w:pPr>
        <w:tabs>
          <w:tab w:val="left" w:leader="none" w:pos="567"/>
        </w:tabs>
        <w:spacing w:line="276" w:lineRule="auto"/>
        <w:jc w:val="both"/>
        <w:rPr>
          <w:sz w:val="24"/>
          <w:szCs w:val="24"/>
        </w:rPr>
      </w:pPr>
      <w:r w:rsidDel="00000000" w:rsidR="00000000" w:rsidRPr="00000000">
        <w:rPr>
          <w:sz w:val="24"/>
          <w:szCs w:val="24"/>
          <w:rtl w:val="0"/>
        </w:rPr>
        <w:tab/>
        <w:t xml:space="preserve">- </w:t>
      </w:r>
      <w:r w:rsidDel="00000000" w:rsidR="00000000" w:rsidRPr="00000000">
        <w:rPr>
          <w:b w:val="1"/>
          <w:sz w:val="24"/>
          <w:szCs w:val="24"/>
          <w:rtl w:val="0"/>
        </w:rPr>
        <w:t xml:space="preserve">Anexa nr.2</w:t>
      </w:r>
      <w:r w:rsidDel="00000000" w:rsidR="00000000" w:rsidRPr="00000000">
        <w:rPr>
          <w:sz w:val="24"/>
          <w:szCs w:val="24"/>
          <w:rtl w:val="0"/>
        </w:rPr>
        <w:t xml:space="preserve"> - Unități de învăţământ particulare acreditate și autorizate de pe raza Municipiului Timişoara;</w:t>
      </w:r>
    </w:p>
    <w:p w:rsidR="00000000" w:rsidDel="00000000" w:rsidP="00000000" w:rsidRDefault="00000000" w:rsidRPr="00000000" w14:paraId="00000025">
      <w:pPr>
        <w:tabs>
          <w:tab w:val="left" w:leader="none" w:pos="567"/>
        </w:tabs>
        <w:spacing w:line="276" w:lineRule="auto"/>
        <w:jc w:val="both"/>
        <w:rPr>
          <w:sz w:val="24"/>
          <w:szCs w:val="24"/>
        </w:rPr>
      </w:pPr>
      <w:r w:rsidDel="00000000" w:rsidR="00000000" w:rsidRPr="00000000">
        <w:rPr>
          <w:sz w:val="24"/>
          <w:szCs w:val="24"/>
          <w:rtl w:val="0"/>
        </w:rPr>
        <w:tab/>
        <w:t xml:space="preserve">- </w:t>
      </w:r>
      <w:r w:rsidDel="00000000" w:rsidR="00000000" w:rsidRPr="00000000">
        <w:rPr>
          <w:b w:val="1"/>
          <w:sz w:val="24"/>
          <w:szCs w:val="24"/>
          <w:rtl w:val="0"/>
        </w:rPr>
        <w:t xml:space="preserve">Anexa nr.3</w:t>
      </w:r>
      <w:r w:rsidDel="00000000" w:rsidR="00000000" w:rsidRPr="00000000">
        <w:rPr>
          <w:sz w:val="24"/>
          <w:szCs w:val="24"/>
          <w:rtl w:val="0"/>
        </w:rPr>
        <w:t xml:space="preserve"> - Unități de învăţământ pentru activităţi extraşcolare, centrele de excelenţă şi cluburile sportive şcolare de pe raza Municipiul Timişoara.</w:t>
      </w:r>
    </w:p>
    <w:p w:rsidR="00000000" w:rsidDel="00000000" w:rsidP="00000000" w:rsidRDefault="00000000" w:rsidRPr="00000000" w14:paraId="00000026">
      <w:pPr>
        <w:tabs>
          <w:tab w:val="left" w:leader="none" w:pos="567"/>
        </w:tabs>
        <w:jc w:val="both"/>
        <w:rPr>
          <w:sz w:val="24"/>
          <w:szCs w:val="24"/>
        </w:rPr>
      </w:pPr>
      <w:r w:rsidDel="00000000" w:rsidR="00000000" w:rsidRPr="00000000">
        <w:rPr>
          <w:sz w:val="24"/>
          <w:szCs w:val="24"/>
          <w:rtl w:val="0"/>
        </w:rPr>
        <w:tab/>
        <w:t xml:space="preserve">Având în vedere prevederile legale expuse în prezentul raport, apreciem că proiectul de hotărâre privind desemnarea reprezentanților din partea Consiliului Local al Municipiului Timişoara în Comisia pentru evaluarea şi asigurarea calităţii educaţiei în unităţile de învăţământ preuniversitar de stat de pe raza Municipiului Timişoara pentru anul şcolar 2023 -2024, îndeplineşte condiţiile pentru a fi supus dezbaterii şi aprobării Consiliului Local al Municipiului Timişoara.</w:t>
      </w:r>
    </w:p>
    <w:p w:rsidR="00000000" w:rsidDel="00000000" w:rsidP="00000000" w:rsidRDefault="00000000" w:rsidRPr="00000000" w14:paraId="00000027">
      <w:pPr>
        <w:jc w:val="both"/>
        <w:rPr>
          <w:color w:val="0070c0"/>
          <w:sz w:val="24"/>
          <w:szCs w:val="24"/>
        </w:rPr>
      </w:pPr>
      <w:r w:rsidDel="00000000" w:rsidR="00000000" w:rsidRPr="00000000">
        <w:rPr>
          <w:rtl w:val="0"/>
        </w:rPr>
      </w:r>
    </w:p>
    <w:p w:rsidR="00000000" w:rsidDel="00000000" w:rsidP="00000000" w:rsidRDefault="00000000" w:rsidRPr="00000000" w14:paraId="00000028">
      <w:pPr>
        <w:tabs>
          <w:tab w:val="left" w:leader="none" w:pos="567"/>
        </w:tabs>
        <w:jc w:val="both"/>
        <w:rPr>
          <w:sz w:val="24"/>
          <w:szCs w:val="24"/>
        </w:rPr>
      </w:pPr>
      <w:r w:rsidDel="00000000" w:rsidR="00000000" w:rsidRPr="00000000">
        <w:rPr>
          <w:rtl w:val="0"/>
        </w:rPr>
      </w:r>
    </w:p>
    <w:p w:rsidR="00000000" w:rsidDel="00000000" w:rsidP="00000000" w:rsidRDefault="00000000" w:rsidRPr="00000000" w14:paraId="00000029">
      <w:pPr>
        <w:tabs>
          <w:tab w:val="left" w:leader="none" w:pos="567"/>
        </w:tabs>
        <w:jc w:val="both"/>
        <w:rPr>
          <w:sz w:val="24"/>
          <w:szCs w:val="24"/>
        </w:rPr>
      </w:pPr>
      <w:r w:rsidDel="00000000" w:rsidR="00000000" w:rsidRPr="00000000">
        <w:rPr>
          <w:rtl w:val="0"/>
        </w:rPr>
      </w:r>
    </w:p>
    <w:p w:rsidR="00000000" w:rsidDel="00000000" w:rsidP="00000000" w:rsidRDefault="00000000" w:rsidRPr="00000000" w14:paraId="0000002A">
      <w:pPr>
        <w:widowControl w:val="0"/>
        <w:ind w:right="108"/>
        <w:jc w:val="both"/>
        <w:rPr>
          <w:b w:val="1"/>
        </w:rPr>
      </w:pPr>
      <w:r w:rsidDel="00000000" w:rsidR="00000000" w:rsidRPr="00000000">
        <w:rPr>
          <w:b w:val="1"/>
          <w:rtl w:val="0"/>
        </w:rPr>
        <w:tab/>
        <w:t xml:space="preserve">DIRECTOR GENERAL </w:t>
        <w:tab/>
        <w:tab/>
        <w:tab/>
        <w:tab/>
        <w:tab/>
      </w:r>
      <w:r w:rsidDel="00000000" w:rsidR="00000000" w:rsidRPr="00000000">
        <w:rPr>
          <w:b w:val="1"/>
          <w:sz w:val="24"/>
          <w:szCs w:val="24"/>
          <w:rtl w:val="0"/>
        </w:rPr>
        <w:t xml:space="preserve">ŞEF SERVICIU</w:t>
      </w:r>
      <w:r w:rsidDel="00000000" w:rsidR="00000000" w:rsidRPr="00000000">
        <w:rPr>
          <w:b w:val="1"/>
          <w:rtl w:val="0"/>
        </w:rPr>
        <w:tab/>
        <w:t xml:space="preserve">                 </w:t>
      </w:r>
    </w:p>
    <w:p w:rsidR="00000000" w:rsidDel="00000000" w:rsidP="00000000" w:rsidRDefault="00000000" w:rsidRPr="00000000" w14:paraId="0000002B">
      <w:pPr>
        <w:tabs>
          <w:tab w:val="left" w:leader="none" w:pos="567"/>
        </w:tabs>
        <w:jc w:val="both"/>
        <w:rPr>
          <w:b w:val="1"/>
          <w:sz w:val="24"/>
          <w:szCs w:val="24"/>
        </w:rPr>
      </w:pPr>
      <w:r w:rsidDel="00000000" w:rsidR="00000000" w:rsidRPr="00000000">
        <w:rPr>
          <w:b w:val="1"/>
          <w:rtl w:val="0"/>
        </w:rPr>
        <w:tab/>
        <w:t xml:space="preserve">     MIHAI BONCEA</w:t>
      </w:r>
      <w:r w:rsidDel="00000000" w:rsidR="00000000" w:rsidRPr="00000000">
        <w:rPr>
          <w:b w:val="1"/>
          <w:sz w:val="24"/>
          <w:szCs w:val="24"/>
          <w:rtl w:val="0"/>
        </w:rPr>
        <w:t xml:space="preserve">              </w:t>
        <w:tab/>
        <w:tab/>
        <w:tab/>
        <w:tab/>
        <w:t xml:space="preserve">  CARMEN PROTEASA</w:t>
      </w:r>
    </w:p>
    <w:p w:rsidR="00000000" w:rsidDel="00000000" w:rsidP="00000000" w:rsidRDefault="00000000" w:rsidRPr="00000000" w14:paraId="0000002C">
      <w:pPr>
        <w:tabs>
          <w:tab w:val="left" w:leader="none" w:pos="567"/>
        </w:tabs>
        <w:jc w:val="both"/>
        <w:rPr>
          <w:b w:val="1"/>
          <w:sz w:val="24"/>
          <w:szCs w:val="24"/>
        </w:rPr>
      </w:pPr>
      <w:r w:rsidDel="00000000" w:rsidR="00000000" w:rsidRPr="00000000">
        <w:rPr>
          <w:rtl w:val="0"/>
        </w:rPr>
      </w:r>
    </w:p>
    <w:p w:rsidR="00000000" w:rsidDel="00000000" w:rsidP="00000000" w:rsidRDefault="00000000" w:rsidRPr="00000000" w14:paraId="0000002D">
      <w:pPr>
        <w:tabs>
          <w:tab w:val="left" w:leader="none" w:pos="567"/>
        </w:tabs>
        <w:jc w:val="both"/>
        <w:rPr>
          <w:b w:val="1"/>
          <w:sz w:val="24"/>
          <w:szCs w:val="24"/>
        </w:rPr>
      </w:pPr>
      <w:r w:rsidDel="00000000" w:rsidR="00000000" w:rsidRPr="00000000">
        <w:rPr>
          <w:rtl w:val="0"/>
        </w:rPr>
      </w:r>
    </w:p>
    <w:p w:rsidR="00000000" w:rsidDel="00000000" w:rsidP="00000000" w:rsidRDefault="00000000" w:rsidRPr="00000000" w14:paraId="0000002E">
      <w:pPr>
        <w:tabs>
          <w:tab w:val="left" w:leader="none" w:pos="567"/>
        </w:tabs>
        <w:jc w:val="both"/>
        <w:rPr>
          <w:b w:val="1"/>
          <w:sz w:val="24"/>
          <w:szCs w:val="24"/>
        </w:rPr>
      </w:pPr>
      <w:r w:rsidDel="00000000" w:rsidR="00000000" w:rsidRPr="00000000">
        <w:rPr>
          <w:rtl w:val="0"/>
        </w:rPr>
      </w:r>
    </w:p>
    <w:p w:rsidR="00000000" w:rsidDel="00000000" w:rsidP="00000000" w:rsidRDefault="00000000" w:rsidRPr="00000000" w14:paraId="0000002F">
      <w:pPr>
        <w:tabs>
          <w:tab w:val="left" w:leader="none" w:pos="567"/>
        </w:tabs>
        <w:jc w:val="both"/>
        <w:rPr>
          <w:b w:val="1"/>
          <w:sz w:val="24"/>
          <w:szCs w:val="24"/>
        </w:rPr>
      </w:pPr>
      <w:r w:rsidDel="00000000" w:rsidR="00000000" w:rsidRPr="00000000">
        <w:rPr>
          <w:b w:val="1"/>
          <w:sz w:val="24"/>
          <w:szCs w:val="24"/>
          <w:rtl w:val="0"/>
        </w:rPr>
        <w:tab/>
        <w:tab/>
        <w:tab/>
        <w:tab/>
        <w:tab/>
        <w:tab/>
        <w:tab/>
        <w:tab/>
        <w:tab/>
        <w:tab/>
        <w:tab/>
        <w:t xml:space="preserve"> CONSILIER,</w:t>
      </w:r>
    </w:p>
    <w:p w:rsidR="00000000" w:rsidDel="00000000" w:rsidP="00000000" w:rsidRDefault="00000000" w:rsidRPr="00000000" w14:paraId="00000030">
      <w:pPr>
        <w:tabs>
          <w:tab w:val="left" w:leader="none" w:pos="567"/>
        </w:tabs>
        <w:jc w:val="both"/>
        <w:rPr>
          <w:b w:val="1"/>
          <w:sz w:val="24"/>
          <w:szCs w:val="24"/>
        </w:rPr>
      </w:pPr>
      <w:r w:rsidDel="00000000" w:rsidR="00000000" w:rsidRPr="00000000">
        <w:rPr>
          <w:b w:val="1"/>
          <w:sz w:val="24"/>
          <w:szCs w:val="24"/>
          <w:rtl w:val="0"/>
        </w:rPr>
        <w:tab/>
        <w:tab/>
        <w:tab/>
        <w:tab/>
        <w:tab/>
        <w:tab/>
        <w:tab/>
        <w:tab/>
        <w:tab/>
        <w:tab/>
        <w:t xml:space="preserve">    OCTAVIA TRUȘCĂ</w:t>
      </w:r>
    </w:p>
    <w:p w:rsidR="00000000" w:rsidDel="00000000" w:rsidP="00000000" w:rsidRDefault="00000000" w:rsidRPr="00000000" w14:paraId="00000031">
      <w:pPr>
        <w:tabs>
          <w:tab w:val="left" w:leader="none" w:pos="567"/>
        </w:tabs>
        <w:jc w:val="both"/>
        <w:rPr>
          <w:b w:val="1"/>
          <w:sz w:val="24"/>
          <w:szCs w:val="24"/>
        </w:rPr>
      </w:pPr>
      <w:r w:rsidDel="00000000" w:rsidR="00000000" w:rsidRPr="00000000">
        <w:rPr>
          <w:b w:val="1"/>
          <w:sz w:val="24"/>
          <w:szCs w:val="24"/>
          <w:rtl w:val="0"/>
        </w:rPr>
        <w:t xml:space="preserve">                                                                                </w:t>
        <w:tab/>
        <w:tab/>
        <w:tab/>
      </w:r>
    </w:p>
    <w:p w:rsidR="00000000" w:rsidDel="00000000" w:rsidP="00000000" w:rsidRDefault="00000000" w:rsidRPr="00000000" w14:paraId="00000032">
      <w:pPr>
        <w:tabs>
          <w:tab w:val="left" w:leader="none" w:pos="567"/>
        </w:tabs>
        <w:jc w:val="both"/>
        <w:rPr>
          <w:sz w:val="24"/>
          <w:szCs w:val="24"/>
        </w:rPr>
      </w:pPr>
      <w:r w:rsidDel="00000000" w:rsidR="00000000" w:rsidRPr="00000000">
        <w:rPr>
          <w:rtl w:val="0"/>
        </w:rPr>
      </w:r>
    </w:p>
    <w:p w:rsidR="00000000" w:rsidDel="00000000" w:rsidP="00000000" w:rsidRDefault="00000000" w:rsidRPr="00000000" w14:paraId="00000033">
      <w:pPr>
        <w:tabs>
          <w:tab w:val="left" w:leader="none" w:pos="567"/>
        </w:tabs>
        <w:jc w:val="right"/>
        <w:rPr>
          <w:sz w:val="24"/>
          <w:szCs w:val="24"/>
        </w:rPr>
      </w:pPr>
      <w:r w:rsidDel="00000000" w:rsidR="00000000" w:rsidRPr="00000000">
        <w:rPr>
          <w:rtl w:val="0"/>
        </w:rPr>
      </w:r>
    </w:p>
    <w:p w:rsidR="00000000" w:rsidDel="00000000" w:rsidP="00000000" w:rsidRDefault="00000000" w:rsidRPr="00000000" w14:paraId="00000034">
      <w:pPr>
        <w:tabs>
          <w:tab w:val="left" w:leader="none" w:pos="567"/>
        </w:tabs>
        <w:jc w:val="right"/>
        <w:rPr>
          <w:sz w:val="24"/>
          <w:szCs w:val="24"/>
        </w:rPr>
      </w:pPr>
      <w:r w:rsidDel="00000000" w:rsidR="00000000" w:rsidRPr="00000000">
        <w:rPr>
          <w:rtl w:val="0"/>
        </w:rPr>
      </w:r>
    </w:p>
    <w:p w:rsidR="00000000" w:rsidDel="00000000" w:rsidP="00000000" w:rsidRDefault="00000000" w:rsidRPr="00000000" w14:paraId="00000035">
      <w:pPr>
        <w:tabs>
          <w:tab w:val="left" w:leader="none" w:pos="567"/>
        </w:tabs>
        <w:jc w:val="right"/>
        <w:rPr>
          <w:sz w:val="24"/>
          <w:szCs w:val="24"/>
        </w:rPr>
      </w:pPr>
      <w:r w:rsidDel="00000000" w:rsidR="00000000" w:rsidRPr="00000000">
        <w:rPr>
          <w:rtl w:val="0"/>
        </w:rPr>
      </w:r>
    </w:p>
    <w:p w:rsidR="00000000" w:rsidDel="00000000" w:rsidP="00000000" w:rsidRDefault="00000000" w:rsidRPr="00000000" w14:paraId="00000036">
      <w:pPr>
        <w:tabs>
          <w:tab w:val="left" w:leader="none" w:pos="567"/>
        </w:tabs>
        <w:jc w:val="right"/>
        <w:rPr>
          <w:sz w:val="20"/>
          <w:szCs w:val="20"/>
        </w:rPr>
      </w:pPr>
      <w:r w:rsidDel="00000000" w:rsidR="00000000" w:rsidRPr="00000000">
        <w:rPr>
          <w:sz w:val="20"/>
          <w:szCs w:val="20"/>
          <w:rtl w:val="0"/>
        </w:rPr>
        <w:t xml:space="preserve">  Cod.FO 53-01,Ver.1</w:t>
      </w:r>
    </w:p>
    <w:p w:rsidR="00000000" w:rsidDel="00000000" w:rsidP="00000000" w:rsidRDefault="00000000" w:rsidRPr="00000000" w14:paraId="00000037">
      <w:pPr>
        <w:tabs>
          <w:tab w:val="left" w:leader="none" w:pos="567"/>
        </w:tabs>
        <w:jc w:val="both"/>
        <w:rPr>
          <w:sz w:val="24"/>
          <w:szCs w:val="24"/>
        </w:rPr>
      </w:pPr>
      <w:r w:rsidDel="00000000" w:rsidR="00000000" w:rsidRPr="00000000">
        <w:rPr>
          <w:rtl w:val="0"/>
        </w:rPr>
      </w:r>
    </w:p>
    <w:sectPr>
      <w:headerReference r:id="rId7" w:type="default"/>
      <w:pgSz w:h="15840" w:w="12240" w:orient="portrait"/>
      <w:pgMar w:bottom="576" w:top="993" w:left="1411"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0" distB="0" distT="0" distL="0" distR="0" hidden="0" layoutInCell="1" locked="0" relativeHeight="0" simplePos="0">
          <wp:simplePos x="0" y="0"/>
          <wp:positionH relativeFrom="page">
            <wp:posOffset>448944</wp:posOffset>
          </wp:positionH>
          <wp:positionV relativeFrom="page">
            <wp:posOffset>417830</wp:posOffset>
          </wp:positionV>
          <wp:extent cx="586740" cy="769620"/>
          <wp:effectExtent b="0" l="0" r="0" t="0"/>
          <wp:wrapSquare wrapText="bothSides" distB="0" distT="0" distL="0" distR="0"/>
          <wp:docPr id="659337190" name="image1.png"/>
          <a:graphic>
            <a:graphicData uri="http://schemas.openxmlformats.org/drawingml/2006/picture">
              <pic:pic>
                <pic:nvPicPr>
                  <pic:cNvPr id="0" name="image1.png"/>
                  <pic:cNvPicPr preferRelativeResize="0"/>
                </pic:nvPicPr>
                <pic:blipFill>
                  <a:blip r:embed="rId1"/>
                  <a:srcRect b="0" l="11761" r="11999" t="0"/>
                  <a:stretch>
                    <a:fillRect/>
                  </a:stretch>
                </pic:blipFill>
                <pic:spPr>
                  <a:xfrm>
                    <a:off x="0" y="0"/>
                    <a:ext cx="586740" cy="769620"/>
                  </a:xfrm>
                  <a:prstGeom prst="rect"/>
                  <a:ln/>
                </pic:spPr>
              </pic:pic>
            </a:graphicData>
          </a:graphic>
        </wp:anchor>
      </w:drawing>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ROMÂNIA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JUDEȚUL TIMIȘ</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CONSILIUL LOCAL AL MUNICIPIULUI TIMIȘOARA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ADMINISTRAȚIA PENTRU SĂNĂTATE ȘI EDUCAȚIE A MUNICIPIULUI TIMIȘOARA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Bd. C.D. Loga nr. 1, Timișoara, România, +40256-408.300 Cod fiscal 45858102</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F703E"/>
    <w:rPr>
      <w:noProof w:val="1"/>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2F703E"/>
    <w:pPr>
      <w:tabs>
        <w:tab w:val="center" w:pos="4703"/>
        <w:tab w:val="right" w:pos="9406"/>
      </w:tabs>
    </w:pPr>
    <w:rPr>
      <w:rFonts w:ascii="Calibri" w:eastAsia="Calibri" w:hAnsi="Calibri"/>
      <w:sz w:val="22"/>
      <w:szCs w:val="22"/>
    </w:rPr>
  </w:style>
  <w:style w:type="character" w:styleId="HeaderChar" w:customStyle="1">
    <w:name w:val="Header Char"/>
    <w:basedOn w:val="DefaultParagraphFont"/>
    <w:link w:val="Header"/>
    <w:uiPriority w:val="99"/>
    <w:rsid w:val="002F703E"/>
    <w:rPr>
      <w:lang w:val="ro-RO"/>
    </w:rPr>
  </w:style>
  <w:style w:type="paragraph" w:styleId="Footer">
    <w:name w:val="footer"/>
    <w:basedOn w:val="Normal"/>
    <w:link w:val="FooterChar"/>
    <w:uiPriority w:val="99"/>
    <w:unhideWhenUsed w:val="1"/>
    <w:rsid w:val="002F703E"/>
    <w:pPr>
      <w:tabs>
        <w:tab w:val="center" w:pos="4703"/>
        <w:tab w:val="right" w:pos="9406"/>
      </w:tabs>
    </w:pPr>
    <w:rPr>
      <w:rFonts w:ascii="Calibri" w:eastAsia="Calibri" w:hAnsi="Calibri"/>
      <w:sz w:val="22"/>
      <w:szCs w:val="22"/>
    </w:rPr>
  </w:style>
  <w:style w:type="character" w:styleId="FooterChar" w:customStyle="1">
    <w:name w:val="Footer Char"/>
    <w:basedOn w:val="DefaultParagraphFont"/>
    <w:link w:val="Footer"/>
    <w:uiPriority w:val="99"/>
    <w:rsid w:val="002F703E"/>
    <w:rPr>
      <w:lang w:val="ro-RO"/>
    </w:rPr>
  </w:style>
  <w:style w:type="paragraph" w:styleId="ListParagraph">
    <w:name w:val="List Paragraph"/>
    <w:basedOn w:val="Normal"/>
    <w:uiPriority w:val="34"/>
    <w:qFormat w:val="1"/>
    <w:rsid w:val="001C09E5"/>
    <w:pPr>
      <w:ind w:left="720"/>
      <w:contextualSpacing w:val="1"/>
    </w:pPr>
  </w:style>
  <w:style w:type="paragraph" w:styleId="NoSpacing">
    <w:name w:val="No Spacing"/>
    <w:aliases w:val="-"/>
    <w:uiPriority w:val="1"/>
    <w:qFormat w:val="1"/>
    <w:rsid w:val="0094734F"/>
  </w:style>
  <w:style w:type="character" w:styleId="spar" w:customStyle="1">
    <w:name w:val="s_par"/>
    <w:basedOn w:val="DefaultParagraphFont"/>
    <w:rsid w:val="00F357E6"/>
  </w:style>
  <w:style w:type="character" w:styleId="SubtleEmphasis">
    <w:name w:val="Subtle Emphasis"/>
    <w:aliases w:val="Header PMT"/>
    <w:uiPriority w:val="19"/>
    <w:qFormat w:val="1"/>
    <w:rsid w:val="002B3731"/>
    <w:rPr>
      <w:rFonts w:ascii="Arial" w:cs="Arial" w:hAnsi="Arial"/>
      <w:caps w:val="1"/>
      <w:sz w:val="22"/>
    </w:rPr>
  </w:style>
  <w:style w:type="character" w:styleId="salnttl1" w:customStyle="1">
    <w:name w:val="s_aln_ttl1"/>
    <w:basedOn w:val="DefaultParagraphFont"/>
    <w:rsid w:val="00CD0098"/>
    <w:rPr>
      <w:rFonts w:ascii="Verdana" w:hAnsi="Verdana" w:hint="default"/>
      <w:b w:val="1"/>
      <w:bCs w:val="1"/>
      <w:vanish w:val="0"/>
      <w:webHidden w:val="0"/>
      <w:color w:val="8b0000"/>
      <w:sz w:val="20"/>
      <w:szCs w:val="20"/>
      <w:shd w:color="auto" w:fill="ffffff" w:val="clear"/>
      <w:specVanish w:val="0"/>
    </w:rPr>
  </w:style>
  <w:style w:type="character" w:styleId="salnbdy" w:customStyle="1">
    <w:name w:val="s_aln_bdy"/>
    <w:basedOn w:val="DefaultParagraphFont"/>
    <w:rsid w:val="00CD0098"/>
    <w:rPr>
      <w:rFonts w:ascii="Verdana" w:hAnsi="Verdana" w:hint="default"/>
      <w:b w:val="0"/>
      <w:bCs w:val="0"/>
      <w:color w:val="000000"/>
      <w:sz w:val="20"/>
      <w:szCs w:val="20"/>
      <w:shd w:color="auto" w:fill="ffffff" w:val="clear"/>
    </w:rPr>
  </w:style>
  <w:style w:type="character" w:styleId="slitbdy" w:customStyle="1">
    <w:name w:val="s_lit_bdy"/>
    <w:basedOn w:val="DefaultParagraphFont"/>
    <w:rsid w:val="00CD0098"/>
    <w:rPr>
      <w:rFonts w:ascii="Verdana" w:hAnsi="Verdana" w:hint="default"/>
      <w:b w:val="0"/>
      <w:bCs w:val="0"/>
      <w:color w:val="000000"/>
      <w:sz w:val="20"/>
      <w:szCs w:val="20"/>
      <w:shd w:color="auto" w:fill="ffffff" w:val="clear"/>
    </w:rPr>
  </w:style>
  <w:style w:type="character" w:styleId="slitttl1" w:customStyle="1">
    <w:name w:val="s_lit_ttl1"/>
    <w:basedOn w:val="DefaultParagraphFont"/>
    <w:rsid w:val="006975AF"/>
    <w:rPr>
      <w:rFonts w:ascii="Verdana" w:hAnsi="Verdana" w:hint="default"/>
      <w:b w:val="1"/>
      <w:bCs w:val="1"/>
      <w:vanish w:val="0"/>
      <w:webHidden w:val="0"/>
      <w:color w:val="8b0000"/>
      <w:sz w:val="11"/>
      <w:szCs w:val="11"/>
      <w:shd w:color="auto" w:fill="ffffff" w:val="clear"/>
      <w:specVanish w:val="0"/>
    </w:rPr>
  </w:style>
  <w:style w:type="character" w:styleId="Hyperlink">
    <w:name w:val="Hyperlink"/>
    <w:basedOn w:val="DefaultParagraphFont"/>
    <w:uiPriority w:val="99"/>
    <w:semiHidden w:val="1"/>
    <w:unhideWhenUsed w:val="1"/>
    <w:rsid w:val="00761F6F"/>
    <w:rPr>
      <w:color w:val="0000ff"/>
      <w:u w:val="single"/>
    </w:rPr>
  </w:style>
  <w:style w:type="paragraph" w:styleId="NormalWeb">
    <w:name w:val="Normal (Web)"/>
    <w:basedOn w:val="Normal"/>
    <w:uiPriority w:val="99"/>
    <w:semiHidden w:val="1"/>
    <w:unhideWhenUsed w:val="1"/>
    <w:rsid w:val="00761F6F"/>
    <w:pPr>
      <w:spacing w:after="100" w:afterAutospacing="1" w:before="100" w:beforeAutospacing="1"/>
    </w:pPr>
    <w:rPr>
      <w:rFonts w:eastAsiaTheme="minorEastAsia"/>
      <w:noProof w:val="0"/>
      <w:sz w:val="24"/>
      <w:szCs w:val="24"/>
      <w:lang w:val="en-US"/>
    </w:rPr>
  </w:style>
  <w:style w:type="paragraph" w:styleId="sartttl" w:customStyle="1">
    <w:name w:val="s_art_ttl"/>
    <w:basedOn w:val="Normal"/>
    <w:rsid w:val="00761F6F"/>
    <w:rPr>
      <w:rFonts w:ascii="Verdana" w:hAnsi="Verdana" w:eastAsiaTheme="minorEastAsia"/>
      <w:b w:val="1"/>
      <w:bCs w:val="1"/>
      <w:noProof w:val="0"/>
      <w:color w:val="24689b"/>
      <w:sz w:val="20"/>
      <w:szCs w:val="20"/>
      <w:lang w:val="en-US"/>
    </w:rPr>
  </w:style>
  <w:style w:type="character" w:styleId="slgi1" w:customStyle="1">
    <w:name w:val="s_lgi1"/>
    <w:basedOn w:val="DefaultParagraphFont"/>
    <w:rsid w:val="00761F6F"/>
    <w:rPr>
      <w:rFonts w:ascii="Verdana" w:hAnsi="Verdana" w:hint="default"/>
      <w:b w:val="0"/>
      <w:bCs w:val="0"/>
      <w:color w:val="006400"/>
      <w:sz w:val="16"/>
      <w:szCs w:val="16"/>
      <w:u w:val="single"/>
      <w:shd w:color="auto" w:fill="ffffff"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1" w:customStyle="1">
    <w:name w:val="Normal1"/>
    <w:rsid w:val="00740000"/>
    <w:pPr>
      <w:spacing w:line="276" w:lineRule="auto"/>
    </w:pPr>
    <w:rPr>
      <w:rFonts w:ascii="Arial" w:cs="Arial" w:eastAsia="Arial" w:hAnsi="Arial"/>
      <w:sz w:val="22"/>
      <w:szCs w:val="22"/>
      <w:lang w:val="en-US"/>
    </w:rPr>
  </w:style>
  <w:style w:type="character" w:styleId="spar3" w:customStyle="1">
    <w:name w:val="s_par3"/>
    <w:basedOn w:val="DefaultParagraphFont"/>
    <w:rsid w:val="00F321CE"/>
    <w:rPr>
      <w:rFonts w:ascii="Verdana" w:hAnsi="Verdana" w:hint="default"/>
      <w:b w:val="0"/>
      <w:bCs w:val="0"/>
      <w:vanish w:val="0"/>
      <w:webHidden w:val="0"/>
      <w:color w:val="000000"/>
      <w:sz w:val="20"/>
      <w:szCs w:val="20"/>
      <w:shd w:color="auto" w:fill="ffffff" w:val="clear"/>
      <w:specVanish w:val="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YCBWQWaICP+TeC29FaEujODUxg==">CgMxLjAyCGguZ2pkZ3hzOAByITFBTTNlbk5iSVdrRmZaMnpjVTJlcHdfTmNqclJaYmg3cA==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2023-09-07T07:57:00Z</dcterms:created>
  <dc:creator>dstefan</dc:creator>
</cp:coreProperties>
</file>